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rPr>
        <w:t>无机化学通风（吊装）实验室</w:t>
      </w:r>
      <w:r>
        <w:rPr>
          <w:rFonts w:hint="eastAsia"/>
          <w:b/>
          <w:bCs/>
          <w:sz w:val="36"/>
          <w:szCs w:val="36"/>
          <w:lang w:eastAsia="zh-CN"/>
        </w:rPr>
        <w:t>清单</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3"/>
        <w:gridCol w:w="853"/>
        <w:gridCol w:w="2223"/>
        <w:gridCol w:w="7522"/>
        <w:gridCol w:w="905"/>
        <w:gridCol w:w="1107"/>
        <w:gridCol w:w="930"/>
        <w:gridCol w:w="1225"/>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6C1C">
            <w:pPr>
              <w:jc w:val="center"/>
              <w:rPr>
                <w:rFonts w:hint="eastAsia" w:ascii="宋体" w:hAnsi="宋体" w:eastAsia="宋体" w:cs="宋体"/>
                <w:b/>
                <w:bCs/>
                <w:i w:val="0"/>
                <w:iCs w:val="0"/>
                <w:color w:val="auto"/>
                <w:sz w:val="24"/>
                <w:szCs w:val="24"/>
                <w:u w:val="none"/>
                <w:lang w:eastAsia="zh-CN"/>
              </w:rPr>
            </w:pPr>
            <w:r>
              <w:rPr>
                <w:rFonts w:hint="eastAsia" w:ascii="宋体" w:hAnsi="宋体" w:eastAsia="宋体" w:cs="宋体"/>
                <w:b/>
                <w:bCs/>
                <w:i w:val="0"/>
                <w:iCs w:val="0"/>
                <w:color w:val="auto"/>
                <w:sz w:val="24"/>
                <w:szCs w:val="24"/>
                <w:u w:val="none"/>
                <w:lang w:eastAsia="zh-CN"/>
              </w:rPr>
              <w:t>示例图片</w:t>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2B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77290" cy="984250"/>
                  <wp:effectExtent l="0" t="0" r="3810" b="6350"/>
                  <wp:docPr id="32"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3" descr="IMG_256"/>
                          <pic:cNvPicPr>
                            <a:picLocks noChangeAspect="1"/>
                          </pic:cNvPicPr>
                        </pic:nvPicPr>
                        <pic:blipFill>
                          <a:blip r:embed="rId4"/>
                          <a:stretch>
                            <a:fillRect/>
                          </a:stretch>
                        </pic:blipFill>
                        <pic:spPr>
                          <a:xfrm>
                            <a:off x="0" y="0"/>
                            <a:ext cx="1177290" cy="9842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5694">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规格尺寸：L2800*W700*H850㎜带水槽；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2、★台面材质：采用≥15mm厚新型陶瓷台面（台面需整张不可拼接）。釉面与胚体经高温一体烧结而成，不脱落、不脱层。为满足实验室对台面苛刻的要求，需满足如下性能：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槽切口截面耐污染性能：为保证水槽孔截面长时间使用后依然洁净不污染，有较强的耐腐性。依据GB/T24820-2024《实验室家具通用技术条件》，对马克笔、酱油、碘伏、红墨水、丙酮、二氯甲烷等污染物接触水槽孔截面不低于48小时的测试。测试结果要求达到5级（无明显变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4、耐磨要求：为保证台面在长时间使用中表面耐磨的稳定性，参照GB/T3810.7-2016检测标准，台面表面耐磨等级不低于4级/2100转；</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5、颜色稳定性：为保证台面的美观度，参照GB/T17657-2022技术要求,耐光色牢度不低于4级。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6、破坏强度：为保证台面在使用中的安全性，参照T/CIQA10-2020技术要求，台面受外力破坏承受不低于12000N；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7、硬度要求：为保证台面在使用过程中能承受一部分锐器、钝器的刻刮，参照JC/T872-2019标准，台面莫氏硬度不低于6级；台面前端按人体工程学，人性化设计，安全无棱角；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8、柜身材质：采用ABS工程塑料一次性注塑成型，柜门：ABS材质，注塑一次成型，静音无铰链设计，180度打开，抽屉全部采用ABS工程塑料。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10、拉伸模具冲压标准化连接件,表面经纯环氧树脂塑粉高温固化处理，具防酸碱、防腐蚀的特点、承重力强。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11、框架：采用1.2mm厚优质冷轧钢管折弯成型，60*40mm，表面粉末静电喷涂。纯环氧树脂塑粉高温固化处理，耐酸、耐腐蚀。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12、箱体：采用1mm激光切割下料，数控冲压成型，表面喷涂纯环氧树脂；塑粉高温固化处理，耐酸、耐腐蚀。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13、工艺:专用连接件连接组合紧固。中台面为准备台面（放置实验仪器）和演示台面；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14、产品零甲醛，无污染，可回收。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学生实验桌</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F7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59535" cy="1165860"/>
                  <wp:effectExtent l="0" t="0" r="12065" b="15240"/>
                  <wp:docPr id="33" name="图片 2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4" descr="IMG_257"/>
                          <pic:cNvPicPr>
                            <a:picLocks noChangeAspect="1"/>
                          </pic:cNvPicPr>
                        </pic:nvPicPr>
                        <pic:blipFill>
                          <a:blip r:embed="rId5"/>
                          <a:stretch>
                            <a:fillRect/>
                          </a:stretch>
                        </pic:blipFill>
                        <pic:spPr>
                          <a:xfrm>
                            <a:off x="0" y="0"/>
                            <a:ext cx="1359535" cy="116586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20C0">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1、规格≧1200*600*780mm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20mm新型陶瓷台面，台面表面为实验室专业耐腐蚀、耐刻刮、耐污染釉面。采用一体实芯黑色坯体，釉面和坯体经高温一体烧结而成，釉面与坯体结合后不脱落、不脱层。台面靠操作边一侧需有凹槽，能有效防止实验物品滚落造成意外事故，还能避免实验试剂和药品倾洒到桌面上造成的危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观要求：台面釉面与坯体之间无断裂、无脱层、无釉面碎屑、釉面与坯体一体结构。在操作边一侧带有宽约10mm深约1.3mm内圆弧凹槽，凹槽表面釉面与操作面釉面一致，为未被破坏的一体烧成釉面。提供第三方检测机构出具的带有样品图片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4、台面表面耐污染性能:参照GB/T17657-2022检测标准，检测内容不低于 60种试剂，至少含氢氧化钙饱和溶液、二氧六环99%、甲酚红、乙醇99%、王水、红药水、硝酸银、立顿红茶(9g/L)、氢氧化钾、硝酸65%、硫酸98%、双氧水3%、二甲苯、高氯酸72%、二甲基甲酰胺99%、乙醚99%、糠醛99%、甲苯99%、过氧化氢、仁和碘酒、丁酮75%、二氯甲烷99%、铬酸60%、二氯乙酸、92#汽油、丙酮99%、苯99%、四氯化碳、氯仿99%、片状氢氧化钠、磷酸85%、乙酸乙酯99%、乙酸99%、盐酸37%、甲醛37%、氨水28%、松节油(分析纯)等化学试剂，污染物接触时长不小于 48h,检测结果不低于5 级无明显变化。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5、抗冲击性能：为保证台面使用的安全性，参照T/CIQA10-2020标准，台面抗冲击性（恢复系数）不低于0.842。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6、防潮要求：为保证台面防潮、防霉的性能，参照GB/T4100-2015（陶瓷砖）附录G标准，台面吸水率测试平均值≤0.05％。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7、颜色稳定性：为保证台面的美观度，参照GB/T17657-2022标准,耐光色牢度不低于4级。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桌身结构：铝合金框架结构，左右桌脚采用Z字形结构设计，左右桌脚之间通过前、中、后、以及桌身中部4条铝合金横梁由M8内六角不锈钢螺丝连接，起到稳固桌子的作用。Z字形结构保证前后重心稳固，有效防止桌身倾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bCs/>
                <w:i w:val="0"/>
                <w:iCs w:val="0"/>
                <w:color w:val="auto"/>
                <w:kern w:val="0"/>
                <w:sz w:val="22"/>
                <w:szCs w:val="22"/>
                <w:u w:val="none"/>
                <w:lang w:val="en-US" w:eastAsia="zh-CN" w:bidi="ar"/>
              </w:rPr>
              <w:t>桌身材质及配件：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1、前横梁：采用40*38mm壁厚1.5mm的优质铝型材材料一次性成型，内设1.5mm厚十字加强筋保证牢固度，材料表面经过防腐氧化处理和纯环氧树脂塑粉高温固化处理，具有较强的耐蚀性及承重性。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2、中横梁：采用20*20mm壁厚1.2mm的优质铝型材材料一次性成型，材料表面经过防腐氧化处理和纯环氧树脂塑粉高温固化处理，具有较强的耐蚀性及承重性。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3、后横梁横梁：采用100*38mm壁厚1.5mm的优质铝型材材料一次性成型，内设1.5mm厚十字加强筋保证牢固度，材料表面经过防腐氧化处理和纯环氧树脂塑粉高温固化处理，具有较强的耐蚀性及承重性。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5、左右Z字形桌脚：由立柱、上下支脚、脚垫四部分组成。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6、立柱：采用100x40mm壁厚2mm的优质铝材材料，内设2根2mm的加强筋，材料表面经过防腐氧化处理和纯环氧树脂塑粉高温固化处理，具有较强的耐蚀性。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7、上支脚：采用580*46mm壁厚3.5mm厚优质铝型材材料一次性成型，压铸脚形状独特，造型美观，牢固耐用。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下支脚：采用530*60mm壁厚3.5mm厚优质铝型材材料一次性成型，拱桥型设计，地面接触处设弧形，受力稳固防倾倒，底脚下方增设防摩擦垫，地脚前侧上方增设ABS耐踩踏塑料盖，防止学生踩踏而导致桌脚表面喷漆掉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9、地脚脚垫：采用PA材料，注塑模一次性成型，可调节，保证桌子平稳。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10、抽屉：规格430*250*170mm，采用ABS塑料一次性注塑成型，内设7条结构加强条，保证抽屉强度，抽屉前侧U型卡扣设计，可防止实验圆凳，方便整理打扫。</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教师转椅</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EB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83920" cy="1535430"/>
                  <wp:effectExtent l="0" t="0" r="11430" b="7620"/>
                  <wp:docPr id="34" name="图片 2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5" descr="IMG_258"/>
                          <pic:cNvPicPr>
                            <a:picLocks noChangeAspect="1"/>
                          </pic:cNvPicPr>
                        </pic:nvPicPr>
                        <pic:blipFill>
                          <a:blip r:embed="rId6"/>
                          <a:stretch>
                            <a:fillRect/>
                          </a:stretch>
                        </pic:blipFill>
                        <pic:spPr>
                          <a:xfrm>
                            <a:off x="0" y="0"/>
                            <a:ext cx="883920" cy="153543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1、背框采用全新pp料加纤一体注塑成型，扪华宇透气网布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2、全新pp料可升降头枕，扪华宇透气网布；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3、连背软质固定腰靠；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4、座包高回弹力海绵。扪华宇透气网布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5、全新pp料连背固定扶手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6、单手柄可逍遥原位锁定底盘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7、防爆二级100mm黑色气压棒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8、330PP加纤五星脚.静压1000KG;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9、50mm尼龙+PU防震静音脚轮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学生凳</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7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12470" cy="854710"/>
                  <wp:effectExtent l="0" t="0" r="11430" b="2540"/>
                  <wp:docPr id="35" name="图片 2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6" descr="IMG_259"/>
                          <pic:cNvPicPr>
                            <a:picLocks noChangeAspect="1"/>
                          </pic:cNvPicPr>
                        </pic:nvPicPr>
                        <pic:blipFill>
                          <a:blip r:embed="rId7"/>
                          <a:stretch>
                            <a:fillRect/>
                          </a:stretch>
                        </pic:blipFill>
                        <pic:spPr>
                          <a:xfrm>
                            <a:off x="0" y="0"/>
                            <a:ext cx="712470" cy="85471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尺寸：Φ300*450mm  凳面颜色：天蓝色/浅绿色/米色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1、凳脚材质：4个凳脚采用20×40×1.5mm 椭圆钢管模具一次成型。满焊接完成，结构牢固，经高温粉体烤漆处理，长时间使用也不会产生表面烤漆剥落现象 固定式凳面直径不小于300mm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2、凳面材质：采用聚丙烯共聚级注塑,厚6mm。表面细纹咬花，防滑不发光 。凳面底部镶嵌4枚内嵌式螺纹，采用镀铬螺丝与圆型托盘固定。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3、脚垫材质：采用PP加耐磨纤维质塑料，实心倒勾式一体成型。</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多功能水槽台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DA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734820" cy="1301115"/>
                  <wp:effectExtent l="0" t="0" r="0" b="0"/>
                  <wp:docPr id="36" name="图片 2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7" descr="IMG_260"/>
                          <pic:cNvPicPr>
                            <a:picLocks noChangeAspect="1"/>
                          </pic:cNvPicPr>
                        </pic:nvPicPr>
                        <pic:blipFill>
                          <a:blip r:embed="rId8"/>
                          <a:stretch>
                            <a:fillRect/>
                          </a:stretch>
                        </pic:blipFill>
                        <pic:spPr>
                          <a:xfrm>
                            <a:off x="0" y="0"/>
                            <a:ext cx="1734820" cy="130111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44E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1、规格尺寸≧左右500*前后600*高度830㎜。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2、水槽内部尺寸：400mm*300mm*220mm。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槽台面：采用PP工程塑料一次性注塑成型结合，黑色，水槽面部下沉式构造，使废水无法沿着桌面侵蚀柜体，后挡水边采用注塑一体化成型，带内部安装固件，前后边所有梯形片材与柜体连接，台盆面设安装水龙头与紧急洗眼器的安装孔，水槽前端设有凹形设计，方便操作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4、水槽具有防止溢水功能，水槽内部设有一个水满到一定位置的时候，把水排到PP下水器进行排出，防止废水外溢。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5、废水防臭器：构建组合成型的防臭防倒流装置，注塑模具一次性成型组合件，防止废气与废水倒灌。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6、PP注塑成型自由转弯软管：采用PP材料注塑已形成形，吸塑PP软管节节可伸缩功能，规格1000任意伸缩长度，直径50mm。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7、水槽柜底盖：PP材质，注塑模具一次成型，防锈、耐酸碱、防水、防潮、底部设有可调整高度的螺旋脚。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8、柜门：PP材质，注塑一次性成型，无铰链设计，静音，270度打开，前后门工艺一致，永不生锈。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9、门框及箱体：前后门框均采用PP工程塑料一次性注塑成型，箱体内衬宝钢数控型材支撑架，配以专用连接件进行组装连接.箱体为精钢配件与注塑组合件联合。</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2F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25475" cy="938530"/>
                  <wp:effectExtent l="0" t="0" r="3175" b="13970"/>
                  <wp:docPr id="37" name="图片 2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8" descr="IMG_261"/>
                          <pic:cNvPicPr>
                            <a:picLocks noChangeAspect="1"/>
                          </pic:cNvPicPr>
                        </pic:nvPicPr>
                        <pic:blipFill>
                          <a:blip r:embed="rId9"/>
                          <a:stretch>
                            <a:fillRect/>
                          </a:stretch>
                        </pic:blipFill>
                        <pic:spPr>
                          <a:xfrm>
                            <a:off x="0" y="0"/>
                            <a:ext cx="625475" cy="93853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DB7B">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三口专用实验龙头：产品为独立控制的阀门和三个出水口，出水嘴设计为插皮管的尖嘴型。</w:t>
            </w:r>
          </w:p>
          <w:p w14:paraId="008882DD">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46223DB9">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3A2989ED">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4441CB52">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台式洗眼器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8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08075" cy="1407160"/>
                  <wp:effectExtent l="0" t="0" r="15875" b="2540"/>
                  <wp:docPr id="38" name="图片 2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9" descr="IMG_262"/>
                          <pic:cNvPicPr>
                            <a:picLocks noChangeAspect="1"/>
                          </pic:cNvPicPr>
                        </pic:nvPicPr>
                        <pic:blipFill>
                          <a:blip r:embed="rId10"/>
                          <a:stretch>
                            <a:fillRect/>
                          </a:stretch>
                        </pic:blipFill>
                        <pic:spPr>
                          <a:xfrm>
                            <a:off x="0" y="0"/>
                            <a:ext cx="1108075" cy="140716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0D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1、主体采用加厚铜材。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2、洗眼喷头采用加厚铜质环氧树脂涂层外加软性橡胶,出水经缓压处理呈泡沫状水柱,防止冲伤眼睛。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3、莲蓬头护罩：Φ70橡胶质护杯，以避免紧急使用时瞬间接触眼部造成碰撞二次伤害。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4、防尘盖: PP材质, 平常可防尘，使用时可随时被水冲开，并降低突然时短暂的高水压，防止冲伤眼睛，防尘盖有连接于护罩可防尘脱落，使用时自动被水冲开。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5、水流锁定开关:水流开启,水流锁定功能一次完成,方便使用。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6、控水阀:止逆阀,其阀门可自动关闭。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7、前置过滤器：配有小型前置过滤器主要的去除管道所产生的沉淀杂质和细菌、微生物残骸、铁锈、沙泥等大于5微米以上的颗粒杂质，避免眼睛及人体肌肤受到伤害。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8、供水软管:长度1.5米,软性PVC管外覆不锈钢网,外层包裹PE管,有效防止生锈、渗漏。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紧急喷淋装置</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C9E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FC2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1、SUS304不锈钢；紧急冲淋洗眼器用于冲洗全身；紧急冲淋洗眼器的冲淋开关球阀能在1秒内快速启动。在标准水压下，15分钟内，紧急冲淋洗眼器的冲淋喷头流量均可达到75.7升/分钟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E7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00430" cy="1697990"/>
                  <wp:effectExtent l="0" t="0" r="13970" b="16510"/>
                  <wp:docPr id="39" name="图片 3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0" descr="IMG_263"/>
                          <pic:cNvPicPr>
                            <a:picLocks noChangeAspect="1"/>
                          </pic:cNvPicPr>
                        </pic:nvPicPr>
                        <pic:blipFill>
                          <a:blip r:embed="rId11"/>
                          <a:stretch>
                            <a:fillRect/>
                          </a:stretch>
                        </pic:blipFill>
                        <pic:spPr>
                          <a:xfrm>
                            <a:off x="0" y="0"/>
                            <a:ext cx="900430" cy="169799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1、规格：L1000*W500*H2000mm，整体采用pp塑料一次性注塑成型，层板采用2.5mm厚环保型PP塑料，耐强酸碱及有机溶剂，内设加强筋。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6、底座高80mm,上下板30mm,重要部位加厚处理，从而使产品更牢固，足迹耐用。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82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EB9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1B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DB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40" name="图片 3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1" descr="IMG_264"/>
                          <pic:cNvPicPr>
                            <a:picLocks noChangeAspect="1"/>
                          </pic:cNvPicPr>
                        </pic:nvPicPr>
                        <pic:blipFill>
                          <a:blip r:embed="rId12"/>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359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1、规格：4900*600*800mm                                                                         2、全钢结构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11、固定桌脚：采用柜体内置可调ABS调整脚，保证调整脚前后都可以调节高低。12，含岛式电源盒+插座四组</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7DD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2B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5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22C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7A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50FAB3">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录播系统</w:t>
            </w:r>
          </w:p>
        </w:tc>
      </w:tr>
      <w:tr w14:paraId="33F8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2E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F0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24915" cy="1372235"/>
                  <wp:effectExtent l="0" t="0" r="13335" b="18415"/>
                  <wp:docPr id="47"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2" descr="IMG_256"/>
                          <pic:cNvPicPr>
                            <a:picLocks noChangeAspect="1"/>
                          </pic:cNvPicPr>
                        </pic:nvPicPr>
                        <pic:blipFill>
                          <a:blip r:embed="rId13"/>
                          <a:stretch>
                            <a:fillRect/>
                          </a:stretch>
                        </pic:blipFill>
                        <pic:spPr>
                          <a:xfrm>
                            <a:off x="0" y="0"/>
                            <a:ext cx="1224915" cy="137223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244E69F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9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E2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9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DE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2B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67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E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48" name="图片 3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3" descr="IMG_257"/>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869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D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B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3C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BF9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9F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B8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77290" cy="575310"/>
                  <wp:effectExtent l="0" t="0" r="3810" b="0"/>
                  <wp:docPr id="49" name="图片 3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4" descr="IMG_258"/>
                          <pic:cNvPicPr>
                            <a:picLocks noChangeAspect="1"/>
                          </pic:cNvPicPr>
                        </pic:nvPicPr>
                        <pic:blipFill>
                          <a:blip r:embed="rId15"/>
                          <a:stretch>
                            <a:fillRect/>
                          </a:stretch>
                        </pic:blipFill>
                        <pic:spPr>
                          <a:xfrm>
                            <a:off x="0" y="0"/>
                            <a:ext cx="1177290" cy="57531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2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5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51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D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9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94765" cy="669925"/>
                  <wp:effectExtent l="0" t="0" r="635" b="15875"/>
                  <wp:docPr id="50" name="图片 3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5" descr="IMG_259"/>
                          <pic:cNvPicPr>
                            <a:picLocks noChangeAspect="1"/>
                          </pic:cNvPicPr>
                        </pic:nvPicPr>
                        <pic:blipFill>
                          <a:blip r:embed="rId16"/>
                          <a:stretch>
                            <a:fillRect/>
                          </a:stretch>
                        </pic:blipFill>
                        <pic:spPr>
                          <a:xfrm>
                            <a:off x="0" y="0"/>
                            <a:ext cx="1294765" cy="6699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1B95">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457BC9A4">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人脸检测：支持对监视画面中出现的人脸进行检测，在监视或录像状态下，监视画面无明显缺损，物体移动时画面边缘无明显锯齿、拉毛现象。</w:t>
            </w:r>
          </w:p>
          <w:p w14:paraId="00B7C4B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4E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28395" cy="982980"/>
                  <wp:effectExtent l="0" t="0" r="0" b="7620"/>
                  <wp:docPr id="51" name="图片 3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6" descr="IMG_260"/>
                          <pic:cNvPicPr>
                            <a:picLocks noChangeAspect="1"/>
                          </pic:cNvPicPr>
                        </pic:nvPicPr>
                        <pic:blipFill>
                          <a:blip r:embed="rId17"/>
                          <a:stretch>
                            <a:fillRect/>
                          </a:stretch>
                        </pic:blipFill>
                        <pic:spPr>
                          <a:xfrm>
                            <a:off x="0" y="0"/>
                            <a:ext cx="1128395" cy="98298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26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1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52" name="图片 3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7" descr="IMG_261"/>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5E6">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B92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11A5D0">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吊装通风系统</w:t>
            </w:r>
          </w:p>
        </w:tc>
      </w:tr>
      <w:tr w14:paraId="7EDD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DBD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A4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多功能控制系统</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B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1323975"/>
                  <wp:effectExtent l="0" t="0" r="9525" b="9525"/>
                  <wp:docPr id="60"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8" descr="IMG_256"/>
                          <pic:cNvPicPr>
                            <a:picLocks noChangeAspect="1"/>
                          </pic:cNvPicPr>
                        </pic:nvPicPr>
                        <pic:blipFill>
                          <a:blip r:embed="rId19"/>
                          <a:stretch>
                            <a:fillRect/>
                          </a:stretch>
                        </pic:blipFill>
                        <pic:spPr>
                          <a:xfrm>
                            <a:off x="0" y="0"/>
                            <a:ext cx="828675" cy="13239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E223">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500*800*250mm智能控制柜：内置总电源开关，漏电保护器，电源保护器，单片机控制器及功能扩展模块，单片机保护模块、急停控制，工作指示灯，分组控制系统（电源控制系统、照明控制系统、给排水控制系统），风机控制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2、电源控制系统：可以对220V进行控制，可以单独进行控制，进行单选、全选、反选，分组进行控制；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3、照明控制系统可以对照明进行控制，可以单独进行控制，进行单选、全选、反选，分组进行控制；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4、智能摇臂控制系统：可以对摇臂进行控制，可以单独进行控制，进行单选、全选、反选，分组进行控制；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控制系统：采用风机矢量控制变频器：应用空间电压矢量控制原理，采用模块化设计、双CPU控制，是集数字技术、计算机技术、现代自控技术于一体的高科技产品，具有精度高、噪音低、转矩大、性能可靠等特点。</w:t>
            </w:r>
          </w:p>
          <w:p w14:paraId="6330B246">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6、主要参数指标为：1.频率指示、异常指示、转速指示、状态指示等均由LED显示；2.输入额定电压：三相380V，±15%；3.输入额定频率：50/60 HZ；4.控制方式：空间电压矢量控制；5.输出频率：0-50HZ；6.过载能力：150% 额定电流；7.保护功能：输入缺相、输入欠压、直流过压、过载等。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7、控制系统：采用自主研发控制系统。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2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C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D5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B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BE1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92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AI智能识别控制系统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B3B8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56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本操作系统的人机交互功能是“友善性”，人机交互功能主要靠可输入输出的外部设备和相应的软件来完成可执行各分项分页控制；人脸身份验证授权控制器：开机人脸识别快速准确验证身份，获得授权后系统自动进入设备控制管理界面，保证了设备控制的安全性和便捷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C2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D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583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23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D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顶装智能控制平台</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4A05">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6659">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规格：10寸触摸屏。</w:t>
            </w:r>
          </w:p>
          <w:p w14:paraId="53CE92D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2、集中控制系统。可执行各分项分页控制；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3、通风控制：触摸数字无极变频控制，具有频率数字显示功能，可精确控制通风风量；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4、供水控制：集中控制整室给排水；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5、照明控制：分组控制整室照明；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6、电源控制：控制学生AC220V电源；低压交、直流电源（0-24V）输出，孔式接线端子输出，具有工作及过载指示。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7、摇臂控制：可以实现单个控制，可以集中控制，可以任意组合控制。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7A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B8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4D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2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B7D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D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63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75C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25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1、定制可以对学生端模块的电源控制系统、照明控制系统、给排水控制系统、智能摇臂控制系统经行独立分组控制，实现全选、反选、单选功能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14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0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7C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A7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88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345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94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远程控制系统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98D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64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2、能使用APP能控制总电源关闭；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3、APP能显示当前温度、相对湿度及当前时间；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5、使用APP同时控制水电风光源开启与关闭，同时可以扩展功能（监控布防、空调控制等等）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82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B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0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54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458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0C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顶装主体框架</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3E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676400" cy="1524000"/>
                  <wp:effectExtent l="0" t="0" r="0" b="0"/>
                  <wp:docPr id="61" name="图片 3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9" descr="IMG_257"/>
                          <pic:cNvPicPr>
                            <a:picLocks noChangeAspect="1"/>
                          </pic:cNvPicPr>
                        </pic:nvPicPr>
                        <pic:blipFill>
                          <a:blip r:embed="rId20"/>
                          <a:stretch>
                            <a:fillRect/>
                          </a:stretch>
                        </pic:blipFill>
                        <pic:spPr>
                          <a:xfrm>
                            <a:off x="0" y="0"/>
                            <a:ext cx="1676400" cy="15240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3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1、整体采用3.0mm冷轧钢板，经激光雕刻机精细雕刻，数控折弯成型，表面经环氧树脂粉末喷涂高温固化处理。要做到承重性能强和耐酸碱、耐腐蚀。</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A3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C6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94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0C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209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E75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4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主体防尘保护罩</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1E91">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60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1、采用1.0mm优质镀锌钢板，采用CO2保护焊焊接，打磨处理，表面经耐酸碱EPOXY粉末烤漆处理（烤漆膜厚度平均值≥70μm），造型独特美观，检修方便。保护主体构架内的供应系统的安全，防止灰尘进入罩体内。</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78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3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4C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C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51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BC8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智能摇臂升降系统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12D2">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4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1、接收智能控制系统信号实现远程遥控，动力为直流24V低压电机推送杆，固定于3mm厚专用铝合金模具一体成型，外部保护罩为铝合金模具一次成型，摇臂上装电源、选配网络及上下水模块。</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D0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D9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D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0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631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220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F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功能模块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C54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FB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1、包含：220V电源模块二块，并且带有使用时的电流电压显示及保护功能。网络功能模块一块；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2、功能模块成一字状分布方便学生使用，接受智能化控制系统控制。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F1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3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6D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0F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9F0D">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F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低压电源</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853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47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及查看具体操作实验情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电源采用耐磨、耐腐蚀、耐高温的PC亮光薄膜面板，学生电源的控制采用彩色液晶触摸屏控制，可以随意设置电压，可直观了解实验操作情况，实时跟进。贴片元件生产技术，微电脑控制，采用彩色触摸4.3寸液晶显示屏电源学生交直流电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4、学生直流电源也是通过触摸键选取，调节范围为1.5～36V，分辨率可达0.1V,额定电流2A，亦具有过载保护智能检测功能。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0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87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5C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B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371B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9C2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保险模块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6C6E">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69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1、系统出现异常时，自动切断电源，确保实验操作时的安全性。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8C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81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E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31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794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0A97">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5B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急停装置</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91F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EE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1、铝合金材质，电系统出现故障时紧急制动，确保实验操作时的安全性。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AF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E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8C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26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8DA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FBF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7C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智能照明</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958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D1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1、接收智能化控制系统控制，功能面板采用1200*85mm，配置LED日光灯1根，每根15W，灯罩采用ABS一次成型，设计安装磨砂透明均光板，不仅能使光线扩散均匀更能起到安全防护作用。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FA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B9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18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4F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3CC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BE7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8D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舱体前后端头</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5AD4">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5F2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1、能隐藏电管道及电线，方便检修。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FF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0B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7E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6F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CE3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12B3">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00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支架功能封板</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1CD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DD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1、采用碳钢丝杠及专业连接件、直角座、龙骨架连接件、吊装挂件、安装连接板等。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BE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39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3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060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EB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046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34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万向吸风罩</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1D6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A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四节1、关节：高密度PP材质表面磨砂，优化了视觉美感和手握触感可360°旋转调节方向。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2、关节密封圈：不易老化之高密度橡胶。在关节之间随着旋钮压力加大而产生阻尼效果。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3、关节连接杆：304不锈钢双头锁杆。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4、关节盖：高密度PP材质表面磨砂，一面嵌入铜质滚花螺母，四周采用自锁式倒扣拆装方便。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5、关节松紧选钮：高密度PP材质，内置微形平面推力不锈钢轴承，与关节连接杆锁合。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6、拱形集气罩：直径210mm，高密度透明PC材料。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7、伸缩导管：4节直径50mm的6系专业抗氧化抗腐蚀的镁硅铝合金，表面做特氟龙表面处理，耐酸、耐碱、耐划痕。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8、旋转关节：6系专业抗氧化抗腐蚀的镁硅铝合金，在下部设计增加旋转功能，内部设计PVC离合结构。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9、扭簧：使用90度的4mm专用弹簧钢抗氧化处理，防止吸风罩整体滑下。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10、安装后可根据使用需要达到三维360度任意转停，集气罩吸气角度360度任意转停。整体美观大方，吻合高水准专业实验室</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9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EC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75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64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11A3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60E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2B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供电线路</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3CBCF">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2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1、模块化设计，每组模块间采用活接式连接，方便安装、检修。采用2.5mm²电线进行系统布线。</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7B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A2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7DB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18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33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B5D5">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99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系统安装辅件</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A317">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2D7E">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采用双槽钢横梁吊装方式，减少楼板承重，防止左右晃动，可进行上下、左右的平衡调节，实验功能板离地2m左右。</w:t>
            </w:r>
          </w:p>
          <w:p w14:paraId="38A7AF48">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主要辅件有：槽钢、三角构件、直角座、龙骨架连接件、吊装挂件、安装连接板等。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72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DF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27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F0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13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2818">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19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0A3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通风风机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72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09600" cy="628650"/>
                  <wp:effectExtent l="0" t="0" r="0" b="0"/>
                  <wp:docPr id="62" name="图片 4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0" descr="IMG_258"/>
                          <pic:cNvPicPr>
                            <a:picLocks noChangeAspect="1"/>
                          </pic:cNvPicPr>
                        </pic:nvPicPr>
                        <pic:blipFill>
                          <a:blip r:embed="rId21"/>
                          <a:stretch>
                            <a:fillRect/>
                          </a:stretch>
                        </pic:blipFill>
                        <pic:spPr>
                          <a:xfrm>
                            <a:off x="0" y="0"/>
                            <a:ext cx="609600"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50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1、结构：PP蜗牛式离心风机。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2、功率：5.5KW。风量：7100-13500m3/h。风压：926-735Pa。噪音：≤55dB(A)。室内换气次数：≥20次/h。终端流速：≥11.3米/秒整个通风系统均为中压系统（500 Pa＜P≤1500 Pa＝，低压系统（P≤500 Pa），主管内风速约8-14米/秒（m/s），支管内风速约6-8米/秒（m/s）。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3、每台通风设备都可以独立操作，相互之间不受影响。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4、气流组织合理，排气顺畅，无气味溢出、气体排放符合国家规定排放标准。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5、通风系统主管内壁光滑，以降低噪声向室内传播，同时管井外壁应同室内装修保持一致，美观耐用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9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7D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69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67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19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41BF">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6C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风帽</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C50F">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CC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6.5APP材质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89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0E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D2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BB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CE8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C023">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A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消音器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FF5C">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4B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C8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14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63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91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D17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C189">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F2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风机软接头</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8803">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18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DN650/DN400PP材质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2C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9C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75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C5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52B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8847">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2B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防震垫</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8A4C">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437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橡胶软垫</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29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6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E0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4A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BC3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D731">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C8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室内通风系统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A1D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28650"/>
                  <wp:effectExtent l="0" t="0" r="9525" b="0"/>
                  <wp:docPr id="63" name="图片 41"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1" descr="IMG_259"/>
                          <pic:cNvPicPr>
                            <a:picLocks noChangeAspect="1"/>
                          </pic:cNvPicPr>
                        </pic:nvPicPr>
                        <pic:blipFill>
                          <a:blip r:embed="rId22"/>
                          <a:stretch>
                            <a:fillRect/>
                          </a:stretch>
                        </pic:blipFill>
                        <pic:spPr>
                          <a:xfrm>
                            <a:off x="0" y="0"/>
                            <a:ext cx="638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3D27">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规格：标准模块化组成，1200*300mm为一组。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2、通风主管道、支管道均采用防腐蚀 PP塑料板焊接而成，</w:t>
            </w:r>
          </w:p>
          <w:p w14:paraId="28B311D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3、主管道：300*400mm矩型风道；</w:t>
            </w:r>
          </w:p>
          <w:p w14:paraId="2810D31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4、通风支管道：φ110圆型风道，接口采用专用胶固定后专用焊条焊接连接。</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4D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8D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D2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F4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E1DC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8C4B">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D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室外通风系统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1C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28650"/>
                  <wp:effectExtent l="0" t="0" r="9525" b="0"/>
                  <wp:docPr id="64" name="图片 42"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2" descr="IMG_260"/>
                          <pic:cNvPicPr>
                            <a:picLocks noChangeAspect="1"/>
                          </pic:cNvPicPr>
                        </pic:nvPicPr>
                        <pic:blipFill>
                          <a:blip r:embed="rId22"/>
                          <a:stretch>
                            <a:fillRect/>
                          </a:stretch>
                        </pic:blipFill>
                        <pic:spPr>
                          <a:xfrm>
                            <a:off x="0" y="0"/>
                            <a:ext cx="638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5DA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1、采用防腐蚀PVC材质，整体一体成型，具有整体结构性能好、严密性高等优点。同时具有耐酸碱性能。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2、规格：400*400。管卡采用不锈钢制作，具有耐腐蚀、防火、防潮等功能。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32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B7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68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4D8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7144">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F0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活性炭吸附箱1</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C61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52475" cy="628650"/>
                  <wp:effectExtent l="0" t="0" r="9525" b="0"/>
                  <wp:docPr id="65" name="图片 43"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3" descr="IMG_261"/>
                          <pic:cNvPicPr>
                            <a:picLocks noChangeAspect="1"/>
                          </pic:cNvPicPr>
                        </pic:nvPicPr>
                        <pic:blipFill>
                          <a:blip r:embed="rId23"/>
                          <a:stretch>
                            <a:fillRect/>
                          </a:stretch>
                        </pic:blipFill>
                        <pic:spPr>
                          <a:xfrm>
                            <a:off x="0" y="0"/>
                            <a:ext cx="7524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84F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尺寸：1500*1500*2000mm，PP材质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BB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99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BE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3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791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B3C0">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EA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系统调试安装</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99C9">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87E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1、吊顶式系统采用模块化结构设计，采用吊装安装方式；</w:t>
            </w:r>
          </w:p>
          <w:p w14:paraId="1E921E11">
            <w:pPr>
              <w:keepNext w:val="0"/>
              <w:keepLines w:val="0"/>
              <w:widowControl/>
              <w:numPr>
                <w:ilvl w:val="0"/>
                <w:numId w:val="3"/>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系统结构调试；</w:t>
            </w:r>
          </w:p>
          <w:p w14:paraId="661D9895">
            <w:pPr>
              <w:keepNext w:val="0"/>
              <w:keepLines w:val="0"/>
              <w:widowControl/>
              <w:numPr>
                <w:ilvl w:val="0"/>
                <w:numId w:val="3"/>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系统控制调试；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4、通风系统调试；</w:t>
            </w:r>
          </w:p>
          <w:p w14:paraId="72E0B50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5、供电系统调试；</w:t>
            </w:r>
          </w:p>
          <w:p w14:paraId="7E5A5AC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6、照明系统调试。</w:t>
            </w:r>
          </w:p>
          <w:p w14:paraId="0935DB0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7、标准化安装</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5C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FE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25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2A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98B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1CAA">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86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铝方通吊顶及教室灯光</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059D">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18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铝方通吊顶，教室灯光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D9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6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F3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1C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EB3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FBD4">
            <w:pPr>
              <w:keepNext w:val="0"/>
              <w:keepLines w:val="0"/>
              <w:widowControl/>
              <w:suppressLineNumbers w:val="0"/>
              <w:jc w:val="center"/>
              <w:textAlignment w:val="center"/>
              <w:rPr>
                <w:rFonts w:hint="default"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kern w:val="0"/>
                <w:sz w:val="24"/>
                <w:szCs w:val="24"/>
                <w:u w:val="none"/>
                <w:lang w:val="en-US" w:eastAsia="zh-CN" w:bidi="ar"/>
              </w:rPr>
              <w:t>29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E3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化学氛围营造</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4AC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676400" cy="609600"/>
                  <wp:effectExtent l="0" t="0" r="0" b="0"/>
                  <wp:docPr id="66" name="图片 44"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4" descr="IMG_262"/>
                          <pic:cNvPicPr>
                            <a:picLocks noChangeAspect="1"/>
                          </pic:cNvPicPr>
                        </pic:nvPicPr>
                        <pic:blipFill>
                          <a:blip r:embed="rId24"/>
                          <a:stretch>
                            <a:fillRect/>
                          </a:stretch>
                        </pic:blipFill>
                        <pic:spPr>
                          <a:xfrm>
                            <a:off x="0" y="0"/>
                            <a:ext cx="1676400" cy="6096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FD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定制,学科氛围的文化建设，包含符合学科教室文化的知识窗帘、亚克力、KT板展板、挂画等设计出效果图、制作、安装等。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57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90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57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31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69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2D6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1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B2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5C43D78">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945F2"/>
    <w:multiLevelType w:val="singleLevel"/>
    <w:tmpl w:val="C1D945F2"/>
    <w:lvl w:ilvl="0" w:tentative="0">
      <w:start w:val="1"/>
      <w:numFmt w:val="decimal"/>
      <w:suff w:val="nothing"/>
      <w:lvlText w:val="%1、"/>
      <w:lvlJc w:val="left"/>
    </w:lvl>
  </w:abstractNum>
  <w:abstractNum w:abstractNumId="1">
    <w:nsid w:val="C36778DB"/>
    <w:multiLevelType w:val="singleLevel"/>
    <w:tmpl w:val="C36778DB"/>
    <w:lvl w:ilvl="0" w:tentative="0">
      <w:start w:val="1"/>
      <w:numFmt w:val="decimal"/>
      <w:suff w:val="nothing"/>
      <w:lvlText w:val="%1、"/>
      <w:lvlJc w:val="left"/>
    </w:lvl>
  </w:abstractNum>
  <w:abstractNum w:abstractNumId="2">
    <w:nsid w:val="D4F9F26F"/>
    <w:multiLevelType w:val="singleLevel"/>
    <w:tmpl w:val="D4F9F26F"/>
    <w:lvl w:ilvl="0" w:tentative="0">
      <w:start w:val="1"/>
      <w:numFmt w:val="decimal"/>
      <w:suff w:val="nothing"/>
      <w:lvlText w:val="%1、"/>
      <w:lvlJc w:val="left"/>
    </w:lvl>
  </w:abstractNum>
  <w:abstractNum w:abstractNumId="3">
    <w:nsid w:val="E4508F59"/>
    <w:multiLevelType w:val="singleLevel"/>
    <w:tmpl w:val="E4508F59"/>
    <w:lvl w:ilvl="0" w:tentative="0">
      <w:start w:val="1"/>
      <w:numFmt w:val="decimal"/>
      <w:suff w:val="nothing"/>
      <w:lvlText w:val="%1、"/>
      <w:lvlJc w:val="left"/>
    </w:lvl>
  </w:abstractNum>
  <w:abstractNum w:abstractNumId="4">
    <w:nsid w:val="008BA768"/>
    <w:multiLevelType w:val="singleLevel"/>
    <w:tmpl w:val="008BA768"/>
    <w:lvl w:ilvl="0" w:tentative="0">
      <w:start w:val="1"/>
      <w:numFmt w:val="decimal"/>
      <w:suff w:val="nothing"/>
      <w:lvlText w:val="%1、"/>
      <w:lvlJc w:val="left"/>
    </w:lvl>
  </w:abstractNum>
  <w:abstractNum w:abstractNumId="5">
    <w:nsid w:val="1E120CE7"/>
    <w:multiLevelType w:val="singleLevel"/>
    <w:tmpl w:val="1E120CE7"/>
    <w:lvl w:ilvl="0" w:tentative="0">
      <w:start w:val="12"/>
      <w:numFmt w:val="decimal"/>
      <w:suff w:val="nothing"/>
      <w:lvlText w:val="%1、"/>
      <w:lvlJc w:val="left"/>
    </w:lvl>
  </w:abstractNum>
  <w:abstractNum w:abstractNumId="6">
    <w:nsid w:val="3630BFDF"/>
    <w:multiLevelType w:val="singleLevel"/>
    <w:tmpl w:val="3630BFDF"/>
    <w:lvl w:ilvl="0" w:tentative="0">
      <w:start w:val="1"/>
      <w:numFmt w:val="decimal"/>
      <w:suff w:val="nothing"/>
      <w:lvlText w:val="%1、"/>
      <w:lvlJc w:val="left"/>
    </w:lvl>
  </w:abstractNum>
  <w:abstractNum w:abstractNumId="7">
    <w:nsid w:val="5B426358"/>
    <w:multiLevelType w:val="singleLevel"/>
    <w:tmpl w:val="5B426358"/>
    <w:lvl w:ilvl="0" w:tentative="0">
      <w:start w:val="1"/>
      <w:numFmt w:val="decimal"/>
      <w:suff w:val="nothing"/>
      <w:lvlText w:val="%1、"/>
      <w:lvlJc w:val="left"/>
    </w:lvl>
  </w:abstractNum>
  <w:num w:numId="1">
    <w:abstractNumId w:val="6"/>
  </w:num>
  <w:num w:numId="2">
    <w:abstractNumId w:val="1"/>
  </w:num>
  <w:num w:numId="3">
    <w:abstractNumId w:val="4"/>
  </w:num>
  <w:num w:numId="4">
    <w:abstractNumId w:val="5"/>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108B130F"/>
    <w:rsid w:val="18B41D16"/>
    <w:rsid w:val="207A4F7D"/>
    <w:rsid w:val="236E7E3E"/>
    <w:rsid w:val="430534F9"/>
    <w:rsid w:val="4A33148F"/>
    <w:rsid w:val="515E6ADB"/>
    <w:rsid w:val="53287DE7"/>
    <w:rsid w:val="63315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12478</Words>
  <Characters>13942</Characters>
  <Lines>0</Lines>
  <Paragraphs>0</Paragraphs>
  <TotalTime>1</TotalTime>
  <ScaleCrop>false</ScaleCrop>
  <LinksUpToDate>false</LinksUpToDate>
  <CharactersWithSpaces>14106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07DB7E50145F4DB68A6EB812CCC5CC7C_13</vt:lpwstr>
  </property>
  <property fmtid="{D5CDD505-2E9C-101B-9397-08002B2CF9AE}" pid="4" name="KSOTemplateDocerSaveRecord">
    <vt:lpwstr>eyJoZGlkIjoiZjI2OTI2Y2JmYzNiMWEwYzVmNDE4YTMzZWJiZDM3ZWMiLCJ1c2VySWQiOiIxNDU1ODkxMDY1In0=</vt:lpwstr>
  </property>
</Properties>
</file>