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7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080"/>
        <w:gridCol w:w="1080"/>
        <w:gridCol w:w="2322"/>
        <w:gridCol w:w="7738"/>
        <w:gridCol w:w="1910"/>
        <w:gridCol w:w="1080"/>
        <w:gridCol w:w="1080"/>
        <w:gridCol w:w="1080"/>
        <w:gridCol w:w="1080"/>
      </w:tblGrid>
      <w:tr w14:paraId="7ED495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5" w:hRule="atLeast"/>
        </w:trPr>
        <w:tc>
          <w:tcPr>
            <w:tcW w:w="18450" w:type="dxa"/>
            <w:gridSpan w:val="9"/>
            <w:tcBorders>
              <w:top w:val="single" w:color="auto" w:sz="6" w:space="0"/>
              <w:left w:val="single" w:color="auto" w:sz="6" w:space="0"/>
              <w:bottom w:val="single" w:color="auto" w:sz="6" w:space="0"/>
              <w:right w:val="single" w:color="auto" w:sz="6" w:space="0"/>
              <w:tl2br w:val="nil"/>
              <w:tr2bl w:val="nil"/>
            </w:tcBorders>
            <w:noWrap w:val="0"/>
            <w:vAlign w:val="top"/>
          </w:tcPr>
          <w:p w14:paraId="7F4804DC">
            <w:pPr>
              <w:spacing w:beforeLines="0" w:afterLines="0"/>
              <w:jc w:val="center"/>
              <w:rPr>
                <w:rFonts w:hint="eastAsia" w:ascii="宋体" w:hAnsi="宋体"/>
                <w:b/>
                <w:color w:val="auto"/>
                <w:sz w:val="36"/>
                <w:szCs w:val="36"/>
                <w:highlight w:val="none"/>
              </w:rPr>
            </w:pPr>
            <w:r>
              <w:rPr>
                <w:rFonts w:hint="eastAsia" w:ascii="宋体" w:hAnsi="宋体"/>
                <w:b/>
                <w:color w:val="auto"/>
                <w:sz w:val="36"/>
                <w:szCs w:val="36"/>
                <w:highlight w:val="none"/>
              </w:rPr>
              <w:t>物理力学实验室2</w:t>
            </w:r>
          </w:p>
        </w:tc>
      </w:tr>
      <w:tr w14:paraId="0F159C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8E99B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序号</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B8E294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设备名称</w:t>
            </w:r>
          </w:p>
        </w:tc>
        <w:tc>
          <w:tcPr>
            <w:tcW w:w="2322" w:type="dxa"/>
            <w:tcBorders>
              <w:top w:val="single" w:color="auto" w:sz="6" w:space="0"/>
              <w:left w:val="single" w:color="auto" w:sz="6" w:space="0"/>
              <w:bottom w:val="single" w:color="auto" w:sz="6" w:space="0"/>
              <w:right w:val="single" w:color="auto" w:sz="6" w:space="0"/>
              <w:tl2br w:val="nil"/>
              <w:tr2bl w:val="nil"/>
            </w:tcBorders>
            <w:noWrap w:val="0"/>
            <w:vAlign w:val="top"/>
          </w:tcPr>
          <w:p w14:paraId="7BB0A339">
            <w:pPr>
              <w:spacing w:beforeLines="0" w:afterLines="0"/>
              <w:jc w:val="center"/>
              <w:rPr>
                <w:rFonts w:hint="eastAsia" w:ascii="宋体" w:hAnsi="宋体"/>
                <w:b/>
                <w:color w:val="auto"/>
                <w:sz w:val="24"/>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10CDD0E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参数</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073D1F5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数量</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BD9013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单位</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305E5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单价</w:t>
            </w:r>
          </w:p>
        </w:tc>
        <w:tc>
          <w:tcPr>
            <w:tcW w:w="1080" w:type="dxa"/>
            <w:tcBorders>
              <w:top w:val="single" w:color="auto" w:sz="6" w:space="0"/>
              <w:left w:val="single" w:color="auto" w:sz="6" w:space="0"/>
              <w:bottom w:val="single" w:color="auto" w:sz="6" w:space="0"/>
              <w:right w:val="nil"/>
              <w:tl2br w:val="nil"/>
              <w:tr2bl w:val="nil"/>
            </w:tcBorders>
            <w:noWrap w:val="0"/>
            <w:vAlign w:val="top"/>
          </w:tcPr>
          <w:p w14:paraId="45F5A0F4">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金额</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397E04B">
            <w:pPr>
              <w:spacing w:beforeLines="0" w:afterLines="0"/>
              <w:jc w:val="center"/>
              <w:rPr>
                <w:rFonts w:hint="eastAsia" w:ascii="宋体" w:hAnsi="宋体"/>
                <w:b/>
                <w:color w:val="auto"/>
                <w:sz w:val="24"/>
                <w:szCs w:val="24"/>
                <w:highlight w:val="none"/>
              </w:rPr>
            </w:pPr>
          </w:p>
        </w:tc>
      </w:tr>
      <w:tr w14:paraId="78B9E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1C37AA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8FCF06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教师演示台</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FDCB17E">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123950" cy="628650"/>
                  <wp:effectExtent l="0" t="0" r="0" b="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4"/>
                          <a:stretch>
                            <a:fillRect/>
                          </a:stretch>
                        </pic:blipFill>
                        <pic:spPr>
                          <a:xfrm>
                            <a:off x="0" y="0"/>
                            <a:ext cx="1123950" cy="628650"/>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03D0AE9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1、规格尺寸：L2800*W700*H850㎜</w:t>
            </w:r>
          </w:p>
          <w:p w14:paraId="330B704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2、台面材质：采用12.7mm实心异型理化板，四周圆弧加厚，经处理后表面光滑、不变形、平整，整体美观大方、耐用。 台面前端按人体工程学人性化设计，安全无棱(颜色可选);</w:t>
            </w:r>
          </w:p>
          <w:p w14:paraId="47DD644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3、柜身材质：采用ABS工程塑料一次注塑成型结合，柜门：ABS材质，注塑一次性成型，无铰链静音设计，180度打开,抽屉全部采用ABS工程塑料；</w:t>
            </w:r>
          </w:p>
          <w:p w14:paraId="0430404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门框及箱体：前后门框均采用ABS工程塑料一次注塑成型，箱体内衬宝钢数控型材支撑架，配以专用连接件进行组装连接,箱体为精钢配件与注塑组合件联合,柜身中间吊板采用1.0mm宝钢冷轧板数控工艺折弯成型。采用内凹设计，使用者坐下身姿自然舒适；</w:t>
            </w:r>
          </w:p>
          <w:p w14:paraId="33B104B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5、拉伸冲压标准化连接件,表面经纯环氧树脂塑粉高温固化处理，具防酸碱、防腐蚀特点、承重力强。</w:t>
            </w:r>
          </w:p>
          <w:p w14:paraId="5DC2EA7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6、框架：采用1.2mm厚优质冷轧钢管折弯成型为60*40mm，表面粉末静电喷涂。纯环氧树脂塑粉高温固化处理，耐酸耐腐蚀。</w:t>
            </w:r>
          </w:p>
          <w:p w14:paraId="41E743A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7、箱体采用1mm激光切割下料，数控冲压成型，表面喷涂纯环氧树脂；塑粉高温固化处理，耐酸耐腐蚀。</w:t>
            </w:r>
          </w:p>
          <w:p w14:paraId="1CE63A4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8、工艺:专用连接件连接组合紧固，中台面为准备台面（放置实验仪器）和演示台面；</w:t>
            </w:r>
          </w:p>
          <w:p w14:paraId="4713027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产品零甲醛，无污染，可回收。</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47E2A95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FC30FE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995843B">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38DFFF6">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F4BE56E">
            <w:pPr>
              <w:spacing w:beforeLines="0" w:afterLines="0"/>
              <w:jc w:val="right"/>
              <w:rPr>
                <w:rFonts w:hint="eastAsia" w:ascii="宋体" w:hAnsi="宋体"/>
                <w:color w:val="auto"/>
                <w:sz w:val="22"/>
                <w:szCs w:val="24"/>
                <w:highlight w:val="none"/>
              </w:rPr>
            </w:pPr>
          </w:p>
        </w:tc>
      </w:tr>
      <w:tr w14:paraId="32F9E6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0E9F68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6E533F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教师转椅</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A03D94F">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61950" cy="628650"/>
                  <wp:effectExtent l="0" t="0" r="0" b="0"/>
                  <wp:docPr id="4"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IMG_256"/>
                          <pic:cNvPicPr>
                            <a:picLocks noChangeAspect="1"/>
                          </pic:cNvPicPr>
                        </pic:nvPicPr>
                        <pic:blipFill>
                          <a:blip r:embed="rId5"/>
                          <a:stretch>
                            <a:fillRect/>
                          </a:stretch>
                        </pic:blipFill>
                        <pic:spPr>
                          <a:xfrm>
                            <a:off x="0" y="0"/>
                            <a:ext cx="361950" cy="628650"/>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7F41A44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背框采用全新pp料加纤一体注塑成型，扪华宇透气网布</w:t>
            </w:r>
          </w:p>
          <w:p w14:paraId="4E9AD39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全新pp料可升降头枕，扪华宇透气网布；</w:t>
            </w:r>
          </w:p>
          <w:p w14:paraId="496F5A9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连背软质固定腰靠；</w:t>
            </w:r>
          </w:p>
          <w:p w14:paraId="6CD9B41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座包高回弹力海绵。扪华宇透气网布</w:t>
            </w:r>
          </w:p>
          <w:p w14:paraId="7644963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全新pp料连背固定扶手</w:t>
            </w:r>
          </w:p>
          <w:p w14:paraId="6A4DFF2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单手柄可逍遥原位锁定底盘</w:t>
            </w:r>
          </w:p>
          <w:p w14:paraId="11EA594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防爆二级100mm黑色气压棒</w:t>
            </w:r>
          </w:p>
          <w:p w14:paraId="7865FF6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330PP加纤五星脚.静压1000KG;</w:t>
            </w:r>
          </w:p>
          <w:p w14:paraId="59C6185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50mm尼龙+PU防震静音脚轮</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332BC11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C7D278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把</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AA3A0D5">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E9124FF">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0946AB7">
            <w:pPr>
              <w:spacing w:beforeLines="0" w:afterLines="0"/>
              <w:jc w:val="right"/>
              <w:rPr>
                <w:rFonts w:hint="eastAsia" w:ascii="宋体" w:hAnsi="宋体"/>
                <w:color w:val="auto"/>
                <w:sz w:val="22"/>
                <w:szCs w:val="24"/>
                <w:highlight w:val="none"/>
              </w:rPr>
            </w:pPr>
          </w:p>
        </w:tc>
      </w:tr>
      <w:tr w14:paraId="664A21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4D2A4D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691A22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学生试验台</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BC4EC93">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33425" cy="628650"/>
                  <wp:effectExtent l="0" t="0" r="9525" b="0"/>
                  <wp:docPr id="6"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descr="IMG_256"/>
                          <pic:cNvPicPr>
                            <a:picLocks noChangeAspect="1"/>
                          </pic:cNvPicPr>
                        </pic:nvPicPr>
                        <pic:blipFill>
                          <a:blip r:embed="rId6"/>
                          <a:stretch>
                            <a:fillRect/>
                          </a:stretch>
                        </pic:blipFill>
                        <pic:spPr>
                          <a:xfrm>
                            <a:off x="0" y="0"/>
                            <a:ext cx="733425" cy="628650"/>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top"/>
          </w:tcPr>
          <w:p w14:paraId="0DF2F2D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1、规格：L1200*W600*H780㎜</w:t>
            </w:r>
          </w:p>
          <w:p w14:paraId="3F43D0D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2、桌面材料：台面采用12.7mm实心异型理化板，经处理后表面光滑、不变形、平整，整体美观大方、耐用。台面前端按人体工程学人性化设计，安全无棱角，呈半圆倒鸭嘴形状，圆润下滑，曲面优美(颜色可选)。</w:t>
            </w:r>
          </w:p>
          <w:p w14:paraId="4638BC3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桌身结构：铝合金框架结构，左右桌脚采用Z字形结构设计，左右桌脚之间通过前、中、后、以及桌身中部4条铝合金横梁由M8内六角不锈钢螺丝连接，起到稳固桌子的作用。Z字形结构保证前后重心稳固，有效防止桌身倾倒。</w:t>
            </w:r>
          </w:p>
          <w:p w14:paraId="710AAD9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桌身材质及配件：</w:t>
            </w:r>
          </w:p>
          <w:p w14:paraId="4696FF3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4、前横梁：采用40*38mm壁厚1.5mm的优质铝型材材料一次性成型，内设1.5mm厚十字加强筋保证牢固度，材料表面经过防腐氧化处理和纯环氧树脂塑粉高温固化处理，具有较强的耐蚀性及承重性。</w:t>
            </w:r>
          </w:p>
          <w:p w14:paraId="267557B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5、中横梁：采用20*20mm壁厚1.2mm的优质铝型材材料一次性成型，材料表面经过防腐氧化处理和纯环氧树脂塑粉高温固化处理，具有较强的耐蚀性及承重性。</w:t>
            </w:r>
          </w:p>
          <w:p w14:paraId="211A5F4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后横梁横梁：采用100*38mm壁厚1.5mm的优质铝型材材料一次性成型，内设1.5mm厚十字加强筋保证牢固度，横梁后侧向桌面上方延伸50mm，形成后挡水，防止液体泼出以及实验材料掉落，材料表面经过防腐氧化处理和纯环氧树脂塑粉高温固化处理，具有较强的耐蚀性及承重性。</w:t>
            </w:r>
          </w:p>
          <w:p w14:paraId="5EEEEC7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桌身中部结构横梁：采用100*20mm壁厚1.2mm的优质铝型材材料一次性成型，拉力弧形结构设计，横截面8字形结构，内设1.2mm厚加强筋，保证牢固度，材料表面经过防腐氧化处理和纯环氧树脂塑粉高温固化处理，具有较强的耐蚀性及承重性。</w:t>
            </w:r>
          </w:p>
          <w:p w14:paraId="0DE3B73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8、左右Z字形桌脚：由立柱、上下支脚、脚垫四部分组成。</w:t>
            </w:r>
          </w:p>
          <w:p w14:paraId="64B8AD4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9、立柱：采用100x40mm壁厚2mm的优质铝材材料，内设2根2mm的加强筋，材料表面经过防腐氧化处理和纯环氧树脂塑粉高温固化处理，具有较强的耐蚀性。</w:t>
            </w:r>
          </w:p>
          <w:p w14:paraId="55D22F2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10、上支脚：采用580*46mm壁厚3.5mm厚优质铝型材材料一次性成型，压铸脚形状独特，造型美观，牢固耐用。</w:t>
            </w:r>
          </w:p>
          <w:p w14:paraId="5DC34BE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下支脚：采用530*60mm壁厚3.5mm厚优质铝型材材料一次性成型，拱桥型设计，地面接触处设弧形，受力稳固防倾倒，底脚下方增设防摩擦垫，地脚前侧上方增设ABS耐踩踏塑料盖，防止学生踩踏而导致桌脚表面喷漆掉落。</w:t>
            </w:r>
          </w:p>
          <w:p w14:paraId="260D4A63">
            <w:pPr>
              <w:spacing w:beforeLines="0" w:afterLines="0"/>
              <w:jc w:val="left"/>
              <w:rPr>
                <w:rFonts w:hint="eastAsia" w:ascii="宋体" w:hAnsi="宋体" w:eastAsia="宋体" w:cs="Times New Roman"/>
                <w:color w:val="auto"/>
                <w:kern w:val="2"/>
                <w:sz w:val="22"/>
                <w:szCs w:val="24"/>
                <w:highlight w:val="none"/>
              </w:rPr>
            </w:pPr>
            <w:r>
              <w:rPr>
                <w:rFonts w:hint="eastAsia" w:ascii="宋体" w:hAnsi="宋体"/>
                <w:color w:val="auto"/>
                <w:sz w:val="22"/>
                <w:szCs w:val="24"/>
                <w:highlight w:val="none"/>
              </w:rPr>
              <w:t>12、抽屉：规格430*250*170mm，采用ABS塑料一次性注塑成型，内设7条结构加强条，保证抽屉强度，抽屉前侧U型卡扣设计，可防止实验圆凳，方便整理打扫。                                                                                               13、地脚前侧上方增设ABS耐踩踏塑料盖，防止学生踩踏而导致桌脚表面喷漆掉落。地脚脚垫：采用ABS材料，注塑模一次性成型，将铝合金脚下方全包裹，保证桌子平稳。</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6020137D">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24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20EE9B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08F2BE0">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59B1B67B">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DB6761">
            <w:pPr>
              <w:spacing w:beforeLines="0" w:afterLines="0"/>
              <w:jc w:val="right"/>
              <w:rPr>
                <w:rFonts w:hint="eastAsia" w:ascii="宋体" w:hAnsi="宋体"/>
                <w:color w:val="auto"/>
                <w:sz w:val="22"/>
                <w:szCs w:val="24"/>
                <w:highlight w:val="none"/>
              </w:rPr>
            </w:pPr>
          </w:p>
        </w:tc>
      </w:tr>
      <w:tr w14:paraId="73B0BB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7D1C6B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774EC3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实验凳</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1B324E1">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466725" cy="628650"/>
                  <wp:effectExtent l="0" t="0" r="9525" b="0"/>
                  <wp:docPr id="8"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IMG_256"/>
                          <pic:cNvPicPr>
                            <a:picLocks noChangeAspect="1"/>
                          </pic:cNvPicPr>
                        </pic:nvPicPr>
                        <pic:blipFill>
                          <a:blip r:embed="rId7"/>
                          <a:stretch>
                            <a:fillRect/>
                          </a:stretch>
                        </pic:blipFill>
                        <pic:spPr>
                          <a:xfrm>
                            <a:off x="0" y="0"/>
                            <a:ext cx="466725" cy="628650"/>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7A7605F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规格：Φ300*450mm  凳面颜色：天蓝色/浅绿色/米色</w:t>
            </w:r>
          </w:p>
          <w:p w14:paraId="1D05369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 xml:space="preserve">1、凳脚材质：4个凳脚采用20×40×1.5mm 椭圆钢管模具一次成型。满焊接完成，结构牢固，经高温粉体烤漆处理，长时间使用也不会产生表面烤漆剥落现象 固定式凳面直径不小于300mm </w:t>
            </w:r>
          </w:p>
          <w:p w14:paraId="7458F31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2、凳面材质：采用聚丙烯共聚级注塑,厚6mm。表面细纹咬花，防滑不发光 。凳面底部镶嵌4枚内嵌式螺纹，采用镀铬螺丝与圆型托盘固定。</w:t>
            </w:r>
          </w:p>
          <w:p w14:paraId="7732FE9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3、脚垫材质：采用PP加耐磨纤维质塑料，实心倒勾式一体成型。</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0DDD7CD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48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C956342">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张</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5F2FA6D">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D028A40">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8314BB5">
            <w:pPr>
              <w:spacing w:beforeLines="0" w:afterLines="0"/>
              <w:jc w:val="right"/>
              <w:rPr>
                <w:rFonts w:hint="eastAsia" w:ascii="宋体" w:hAnsi="宋体"/>
                <w:color w:val="auto"/>
                <w:sz w:val="22"/>
                <w:szCs w:val="24"/>
                <w:highlight w:val="none"/>
              </w:rPr>
            </w:pPr>
          </w:p>
        </w:tc>
      </w:tr>
      <w:tr w14:paraId="0A489B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072E74">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4364C8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设备台</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C9CFF9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438150"/>
                  <wp:effectExtent l="0" t="0" r="0" b="0"/>
                  <wp:docPr id="10" name="图片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0E411DB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规格：9600*600*800mm                                                                         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全钢结构</w:t>
            </w:r>
          </w:p>
          <w:p w14:paraId="4BF8B0D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3D72459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5977E03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拉手：金属材质，人体工学设计，造型独特美观；</w:t>
            </w:r>
          </w:p>
          <w:p w14:paraId="65E6FAE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防撞胶垫：装于抽屉及门板内侧，减缓碰撞，保护柜体；</w:t>
            </w:r>
          </w:p>
          <w:p w14:paraId="52B91D9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门板及抽面：采用双层钢板，必须两层组装是设计，保证两层双面都喷涂处理，中间采用隔音材料，保证关门减少噪音；</w:t>
            </w:r>
          </w:p>
          <w:p w14:paraId="20A3CC7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连接件：采用ABS专用连接组装件；</w:t>
            </w:r>
          </w:p>
          <w:p w14:paraId="4F26C5E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合页：采用优质不锈钢模具一体成型，强度必须达到一个正常成年座在门上方合页不脱落；</w:t>
            </w:r>
          </w:p>
          <w:p w14:paraId="6385DD2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滑轨：三节重型滚珠滑轨，承重性强，滑动性能良好，无噪音；</w:t>
            </w:r>
          </w:p>
          <w:p w14:paraId="42BE633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固定桌脚：采用柜体内置可调ABS调整脚，保证调整脚前后都可以调节高低。</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686F0384">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748CAB1">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13DD00A">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C51BD31">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F93074D">
            <w:pPr>
              <w:spacing w:beforeLines="0" w:afterLines="0"/>
              <w:jc w:val="right"/>
              <w:rPr>
                <w:rFonts w:hint="eastAsia" w:ascii="宋体" w:hAnsi="宋体"/>
                <w:color w:val="auto"/>
                <w:sz w:val="22"/>
                <w:szCs w:val="24"/>
                <w:highlight w:val="none"/>
              </w:rPr>
            </w:pPr>
          </w:p>
        </w:tc>
      </w:tr>
      <w:tr w14:paraId="7AC0EB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BBD803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7FEC66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岛式插座</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84EB646">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523875"/>
                  <wp:effectExtent l="0" t="0" r="9525" b="8890"/>
                  <wp:docPr id="12"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6"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0C697D5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1、钢制线盒，主框架采用裸板实际厚度大于1.0mm厚优质钢材产一级镀锌钢板经CNC机压成形、焊接制作，表面经磷化处理、环氧树脂静电粉末涂装处理。</w:t>
            </w:r>
          </w:p>
          <w:p w14:paraId="297A38E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 xml:space="preserve"> 220V交流输出为新国标五孔插座，</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394C1C6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921C60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D9294EC">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64B02B26">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640A9D3">
            <w:pPr>
              <w:spacing w:beforeLines="0" w:afterLines="0"/>
              <w:jc w:val="right"/>
              <w:rPr>
                <w:rFonts w:hint="eastAsia" w:ascii="宋体" w:hAnsi="宋体"/>
                <w:color w:val="auto"/>
                <w:sz w:val="22"/>
                <w:szCs w:val="24"/>
                <w:highlight w:val="none"/>
              </w:rPr>
            </w:pPr>
          </w:p>
        </w:tc>
      </w:tr>
      <w:tr w14:paraId="4D1058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F93149C">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7</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D60076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设备台</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15AAFD45">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438150"/>
                  <wp:effectExtent l="0" t="0" r="0" b="0"/>
                  <wp:docPr id="14"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7" descr="IMG_256"/>
                          <pic:cNvPicPr>
                            <a:picLocks noChangeAspect="1"/>
                          </pic:cNvPicPr>
                        </pic:nvPicPr>
                        <pic:blipFill>
                          <a:blip r:embed="rId8"/>
                          <a:stretch>
                            <a:fillRect/>
                          </a:stretch>
                        </pic:blipFill>
                        <pic:spPr>
                          <a:xfrm>
                            <a:off x="0" y="0"/>
                            <a:ext cx="1085850" cy="438150"/>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47C7B67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规格：2400*700*800mm                                                                         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全钢结构</w:t>
            </w:r>
          </w:p>
          <w:p w14:paraId="249241C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台面：采用≥12.7mm厚双面膜耐腐蚀实芯理化板制作，四角倒R15圆角。耐酸、耐碱、耐高温，坚固耐用，防潮、无细孔、不膨胀、不龟裂、不变形、不导电、便于维护及具有良好的承重性能；</w:t>
            </w:r>
          </w:p>
          <w:p w14:paraId="6858D59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柜体：采用≥1.0mm优质镀锌钢板，采用CO2保护焊焊接，打磨处理，表面经耐酸碱环氧树脂粉末烤漆处理（烤漆膜厚度平均值≥70μm），表面硬度附着力、耐腐蚀性符合国家标准；整体结构设计合理。</w:t>
            </w:r>
          </w:p>
          <w:p w14:paraId="5B4D19E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拉手：金属材质，人体工学设计，造型独特美观；</w:t>
            </w:r>
          </w:p>
          <w:p w14:paraId="648E068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防撞胶垫：装于抽屉及门板内侧，减缓碰撞，保护柜体；</w:t>
            </w:r>
          </w:p>
          <w:p w14:paraId="42C156A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门板及抽面：采用双层钢板，必须两层组装是设计，保证两层双面都喷涂处理，中间采用隔音材料，保证关门减少噪音；</w:t>
            </w:r>
          </w:p>
          <w:p w14:paraId="7E8FEA3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连接件：采用ABS专用连接组装件；</w:t>
            </w:r>
          </w:p>
          <w:p w14:paraId="1E67ACC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合页：采用优质不锈钢模具一体成型，强度必须达到一个正常成年座在门上方合页不脱落；</w:t>
            </w:r>
          </w:p>
          <w:p w14:paraId="44290DC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滑轨：三节重型滚珠滑轨，承重性强，滑动性能良好，无噪音；</w:t>
            </w:r>
          </w:p>
          <w:p w14:paraId="7CA4D77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固定桌脚：采用柜体内置可调ABS调整脚，保证调整脚前后都可以调节高低。</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55839E9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1929E35">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AACFF71">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5950F59C">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C50C847">
            <w:pPr>
              <w:spacing w:beforeLines="0" w:afterLines="0"/>
              <w:jc w:val="right"/>
              <w:rPr>
                <w:rFonts w:hint="eastAsia" w:ascii="宋体" w:hAnsi="宋体"/>
                <w:color w:val="auto"/>
                <w:sz w:val="22"/>
                <w:szCs w:val="24"/>
                <w:highlight w:val="none"/>
              </w:rPr>
            </w:pPr>
          </w:p>
        </w:tc>
      </w:tr>
      <w:tr w14:paraId="77F156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1BECFE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99AC0B0">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岛式插座</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4043B902">
            <w:pPr>
              <w:keepNext w:val="0"/>
              <w:keepLines w:val="0"/>
              <w:widowControl/>
              <w:suppressLineNumbers w:val="0"/>
              <w:jc w:val="center"/>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790575" cy="523875"/>
                  <wp:effectExtent l="0" t="0" r="9525" b="8890"/>
                  <wp:docPr id="16" name="图片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8" descr="IMG_256"/>
                          <pic:cNvPicPr>
                            <a:picLocks noChangeAspect="1"/>
                          </pic:cNvPicPr>
                        </pic:nvPicPr>
                        <pic:blipFill>
                          <a:blip r:embed="rId9"/>
                          <a:stretch>
                            <a:fillRect/>
                          </a:stretch>
                        </pic:blipFill>
                        <pic:spPr>
                          <a:xfrm>
                            <a:off x="0" y="0"/>
                            <a:ext cx="790575" cy="523875"/>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040D6EE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1、钢制线盒，主框架采用裸板实际厚度大于1.0mm厚优质钢材产一级镀锌钢板经CNC机压成形、焊接制作，表面经磷化处理、环氧树脂静电粉末涂装处理。</w:t>
            </w:r>
          </w:p>
          <w:p w14:paraId="25E5237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 xml:space="preserve"> 220V交流输出为新国标五孔插座，</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5E908BC7">
            <w:pPr>
              <w:spacing w:beforeLines="0" w:afterLines="0"/>
              <w:jc w:val="center"/>
              <w:rPr>
                <w:rFonts w:hint="eastAsia" w:ascii="宋体" w:hAnsi="宋体"/>
                <w:color w:val="auto"/>
                <w:sz w:val="20"/>
                <w:szCs w:val="24"/>
                <w:highlight w:val="none"/>
              </w:rPr>
            </w:pPr>
            <w:r>
              <w:rPr>
                <w:rFonts w:hint="eastAsia" w:ascii="宋体" w:hAnsi="宋体"/>
                <w:color w:val="auto"/>
                <w:sz w:val="20"/>
                <w:szCs w:val="24"/>
                <w:highlight w:val="none"/>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8105EB">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组</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52F35C2">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0E90F8F5">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7E00C1C">
            <w:pPr>
              <w:spacing w:beforeLines="0" w:afterLines="0"/>
              <w:jc w:val="right"/>
              <w:rPr>
                <w:rFonts w:hint="eastAsia" w:ascii="宋体" w:hAnsi="宋体"/>
                <w:color w:val="auto"/>
                <w:sz w:val="22"/>
                <w:szCs w:val="24"/>
                <w:highlight w:val="none"/>
              </w:rPr>
            </w:pPr>
          </w:p>
        </w:tc>
      </w:tr>
      <w:tr w14:paraId="10C057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8D112A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3C02F71">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仪器柜</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E958456">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71475" cy="628650"/>
                  <wp:effectExtent l="0" t="0" r="9525" b="0"/>
                  <wp:docPr id="18" name="图片 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 descr="IMG_256"/>
                          <pic:cNvPicPr>
                            <a:picLocks noChangeAspect="1"/>
                          </pic:cNvPicPr>
                        </pic:nvPicPr>
                        <pic:blipFill>
                          <a:blip r:embed="rId10"/>
                          <a:stretch>
                            <a:fillRect/>
                          </a:stretch>
                        </pic:blipFill>
                        <pic:spPr>
                          <a:xfrm>
                            <a:off x="0" y="0"/>
                            <a:ext cx="371475" cy="628650"/>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73920A55">
            <w:pPr>
              <w:spacing w:beforeLines="0" w:afterLines="0"/>
              <w:jc w:val="left"/>
              <w:rPr>
                <w:rFonts w:hint="eastAsia" w:ascii="宋体" w:hAnsi="宋体" w:eastAsia="宋体"/>
                <w:color w:val="auto"/>
                <w:sz w:val="24"/>
                <w:szCs w:val="24"/>
                <w:highlight w:val="none"/>
                <w:lang w:val="en-US" w:eastAsia="zh-CN"/>
              </w:rPr>
            </w:pPr>
            <w:r>
              <w:rPr>
                <w:rFonts w:hint="eastAsia" w:ascii="宋体" w:hAnsi="宋体"/>
                <w:color w:val="auto"/>
                <w:sz w:val="22"/>
                <w:szCs w:val="24"/>
                <w:highlight w:val="none"/>
              </w:rPr>
              <w:t>规格：</w:t>
            </w:r>
            <w:r>
              <w:rPr>
                <w:rFonts w:hint="eastAsia" w:ascii="宋体" w:hAnsi="宋体"/>
                <w:color w:val="auto"/>
                <w:sz w:val="24"/>
                <w:szCs w:val="24"/>
                <w:highlight w:val="none"/>
              </w:rPr>
              <w:t>1000*500*2000</w:t>
            </w:r>
            <w:r>
              <w:rPr>
                <w:rFonts w:hint="eastAsia" w:ascii="宋体" w:hAnsi="宋体"/>
                <w:color w:val="auto"/>
                <w:sz w:val="24"/>
                <w:szCs w:val="24"/>
                <w:highlight w:val="none"/>
                <w:lang w:val="en-US" w:eastAsia="zh-CN"/>
              </w:rPr>
              <w:t>mm</w:t>
            </w:r>
          </w:p>
          <w:p w14:paraId="52FA443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全钢结构。</w:t>
            </w:r>
          </w:p>
          <w:p w14:paraId="75A0E3D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w:t>
            </w:r>
            <w:r>
              <w:rPr>
                <w:rFonts w:hint="eastAsia" w:ascii="宋体" w:hAnsi="宋体"/>
                <w:color w:val="auto"/>
                <w:sz w:val="24"/>
                <w:szCs w:val="24"/>
                <w:highlight w:val="none"/>
              </w:rPr>
              <w:t>框架：采用≥1.0mm厚钢板裁剪折弯后满焊点焊接，表面经环氧树脂喷涂处理，连接件采用不锈钢连接件。</w:t>
            </w:r>
          </w:p>
          <w:p w14:paraId="7516A0C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柜体：侧板、背板采用采用≥1.0mm厚镀锌钢板裁剪折弯后满焊点焊接，表面经环氧树脂喷涂处理，连接件采用不锈钢连接件。</w:t>
            </w:r>
          </w:p>
          <w:p w14:paraId="4A2AB29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柜门：采用≥1.0mm厚镀锌钢板裁剪折弯后满焊点焊接，表面经环氧树脂喷涂处理，对开门式设计。</w:t>
            </w:r>
          </w:p>
          <w:p w14:paraId="0C8E4AA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w:t>
            </w:r>
            <w:r>
              <w:rPr>
                <w:rFonts w:hint="eastAsia" w:ascii="宋体" w:hAnsi="宋体"/>
                <w:color w:val="auto"/>
                <w:sz w:val="24"/>
                <w:szCs w:val="24"/>
                <w:highlight w:val="none"/>
                <w:lang w:eastAsia="zh-CN"/>
              </w:rPr>
              <w:t>、</w:t>
            </w:r>
            <w:r>
              <w:rPr>
                <w:rFonts w:hint="eastAsia" w:ascii="宋体" w:hAnsi="宋体"/>
                <w:color w:val="auto"/>
                <w:sz w:val="24"/>
                <w:szCs w:val="24"/>
                <w:highlight w:val="none"/>
              </w:rPr>
              <w:t>拉手：人体工学设计，造型独特美观；</w:t>
            </w:r>
          </w:p>
          <w:p w14:paraId="134B92F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w:t>
            </w:r>
            <w:r>
              <w:rPr>
                <w:rFonts w:hint="eastAsia" w:ascii="宋体" w:hAnsi="宋体"/>
                <w:color w:val="auto"/>
                <w:sz w:val="24"/>
                <w:szCs w:val="24"/>
                <w:highlight w:val="none"/>
                <w:lang w:eastAsia="zh-CN"/>
              </w:rPr>
              <w:t>、</w:t>
            </w:r>
            <w:r>
              <w:rPr>
                <w:rFonts w:hint="eastAsia" w:ascii="宋体" w:hAnsi="宋体"/>
                <w:color w:val="auto"/>
                <w:sz w:val="24"/>
                <w:szCs w:val="24"/>
                <w:highlight w:val="none"/>
              </w:rPr>
              <w:t>铰链：采用定位铰链或2mm不锈钢合页。</w:t>
            </w:r>
          </w:p>
          <w:p w14:paraId="37F524EC">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w:t>
            </w:r>
            <w:r>
              <w:rPr>
                <w:rFonts w:hint="eastAsia" w:ascii="宋体" w:hAnsi="宋体"/>
                <w:color w:val="auto"/>
                <w:sz w:val="24"/>
                <w:szCs w:val="24"/>
                <w:highlight w:val="none"/>
                <w:lang w:eastAsia="zh-CN"/>
              </w:rPr>
              <w:t>、</w:t>
            </w:r>
            <w:r>
              <w:rPr>
                <w:rFonts w:hint="eastAsia" w:ascii="宋体" w:hAnsi="宋体"/>
                <w:color w:val="auto"/>
                <w:sz w:val="24"/>
                <w:szCs w:val="24"/>
                <w:highlight w:val="none"/>
              </w:rPr>
              <w:t>调整脚：采用ABS新料模具一体成型的承重型可调节地脚，螺丝SUS304不锈钢材质。</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17B3230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7489D1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525F564">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F522FE0">
            <w:pPr>
              <w:spacing w:beforeLines="0" w:afterLines="0"/>
              <w:jc w:val="center"/>
              <w:rPr>
                <w:rFonts w:hint="eastAsia" w:ascii="宋体" w:hAnsi="宋体"/>
                <w:color w:val="auto"/>
                <w:sz w:val="20"/>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2140A02">
            <w:pPr>
              <w:spacing w:beforeLines="0" w:afterLines="0"/>
              <w:jc w:val="right"/>
              <w:rPr>
                <w:rFonts w:hint="eastAsia" w:ascii="宋体" w:hAnsi="宋体"/>
                <w:color w:val="auto"/>
                <w:sz w:val="22"/>
                <w:szCs w:val="24"/>
                <w:highlight w:val="none"/>
              </w:rPr>
            </w:pPr>
          </w:p>
        </w:tc>
      </w:tr>
      <w:tr w14:paraId="6865E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8D296C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10</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629D65E">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仪器柜</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5A7A6D2">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371475" cy="628650"/>
                  <wp:effectExtent l="0" t="0" r="9525" b="0"/>
                  <wp:docPr id="2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1" descr="IMG_256"/>
                          <pic:cNvPicPr>
                            <a:picLocks noChangeAspect="1"/>
                          </pic:cNvPicPr>
                        </pic:nvPicPr>
                        <pic:blipFill>
                          <a:blip r:embed="rId10"/>
                          <a:stretch>
                            <a:fillRect/>
                          </a:stretch>
                        </pic:blipFill>
                        <pic:spPr>
                          <a:xfrm>
                            <a:off x="0" y="0"/>
                            <a:ext cx="371475" cy="628650"/>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114AE022">
            <w:pPr>
              <w:spacing w:beforeLines="0" w:afterLines="0"/>
              <w:jc w:val="left"/>
              <w:rPr>
                <w:rFonts w:hint="eastAsia" w:ascii="宋体" w:hAnsi="宋体" w:eastAsia="宋体"/>
                <w:color w:val="auto"/>
                <w:sz w:val="24"/>
                <w:szCs w:val="24"/>
                <w:highlight w:val="none"/>
                <w:lang w:val="en-US" w:eastAsia="zh-CN"/>
              </w:rPr>
            </w:pPr>
            <w:r>
              <w:rPr>
                <w:rFonts w:hint="eastAsia" w:ascii="宋体" w:hAnsi="宋体"/>
                <w:color w:val="auto"/>
                <w:sz w:val="22"/>
                <w:szCs w:val="24"/>
                <w:highlight w:val="none"/>
              </w:rPr>
              <w:t>规格：</w:t>
            </w:r>
            <w:r>
              <w:rPr>
                <w:rFonts w:hint="eastAsia" w:ascii="宋体" w:hAnsi="宋体"/>
                <w:color w:val="auto"/>
                <w:sz w:val="24"/>
                <w:szCs w:val="24"/>
                <w:highlight w:val="none"/>
              </w:rPr>
              <w:t>1000*500*2000</w:t>
            </w:r>
            <w:r>
              <w:rPr>
                <w:rFonts w:hint="eastAsia" w:ascii="宋体" w:hAnsi="宋体"/>
                <w:color w:val="auto"/>
                <w:sz w:val="24"/>
                <w:szCs w:val="24"/>
                <w:highlight w:val="none"/>
                <w:lang w:val="en-US" w:eastAsia="zh-CN"/>
              </w:rPr>
              <w:t>mm</w:t>
            </w:r>
          </w:p>
          <w:p w14:paraId="45083B7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全钢结构。</w:t>
            </w:r>
          </w:p>
          <w:p w14:paraId="2809350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w:t>
            </w:r>
            <w:r>
              <w:rPr>
                <w:rFonts w:hint="eastAsia" w:ascii="宋体" w:hAnsi="宋体"/>
                <w:color w:val="auto"/>
                <w:sz w:val="24"/>
                <w:szCs w:val="24"/>
                <w:highlight w:val="none"/>
                <w:lang w:eastAsia="zh-CN"/>
              </w:rPr>
              <w:t>、</w:t>
            </w:r>
            <w:r>
              <w:rPr>
                <w:rFonts w:hint="eastAsia" w:ascii="宋体" w:hAnsi="宋体"/>
                <w:color w:val="auto"/>
                <w:sz w:val="24"/>
                <w:szCs w:val="24"/>
                <w:highlight w:val="none"/>
              </w:rPr>
              <w:t>框架：采用≥1.0mm厚钢板裁剪折弯后满焊点焊接，表面经环氧树脂喷涂处理，连接件采用不锈钢连接件。</w:t>
            </w:r>
          </w:p>
          <w:p w14:paraId="35E07D8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柜体：侧板、背板采用采用≥1.0mm厚镀锌钢板裁剪折弯后满焊点焊接，表面经环氧树脂喷涂处理，连接件采用不锈钢连接件。</w:t>
            </w:r>
          </w:p>
          <w:p w14:paraId="5E36302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w:t>
            </w:r>
            <w:r>
              <w:rPr>
                <w:rFonts w:hint="eastAsia" w:ascii="宋体" w:hAnsi="宋体"/>
                <w:color w:val="auto"/>
                <w:sz w:val="24"/>
                <w:szCs w:val="24"/>
                <w:highlight w:val="none"/>
                <w:lang w:eastAsia="zh-CN"/>
              </w:rPr>
              <w:t>、</w:t>
            </w:r>
            <w:r>
              <w:rPr>
                <w:rFonts w:hint="eastAsia" w:ascii="宋体" w:hAnsi="宋体"/>
                <w:color w:val="auto"/>
                <w:sz w:val="24"/>
                <w:szCs w:val="24"/>
                <w:highlight w:val="none"/>
              </w:rPr>
              <w:t>柜门：采用≥1.0mm厚镀锌钢板裁剪折弯后满焊点焊接，表面经环氧树脂喷涂处理，对开门式设计。</w:t>
            </w:r>
          </w:p>
          <w:p w14:paraId="008C63F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w:t>
            </w:r>
            <w:r>
              <w:rPr>
                <w:rFonts w:hint="eastAsia" w:ascii="宋体" w:hAnsi="宋体"/>
                <w:color w:val="auto"/>
                <w:sz w:val="24"/>
                <w:szCs w:val="24"/>
                <w:highlight w:val="none"/>
                <w:lang w:eastAsia="zh-CN"/>
              </w:rPr>
              <w:t>、</w:t>
            </w:r>
            <w:r>
              <w:rPr>
                <w:rFonts w:hint="eastAsia" w:ascii="宋体" w:hAnsi="宋体"/>
                <w:color w:val="auto"/>
                <w:sz w:val="24"/>
                <w:szCs w:val="24"/>
                <w:highlight w:val="none"/>
              </w:rPr>
              <w:t>拉手：人体工学设计，造型独特美观；</w:t>
            </w:r>
          </w:p>
          <w:p w14:paraId="7B6AD198">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w:t>
            </w:r>
            <w:r>
              <w:rPr>
                <w:rFonts w:hint="eastAsia" w:ascii="宋体" w:hAnsi="宋体"/>
                <w:color w:val="auto"/>
                <w:sz w:val="24"/>
                <w:szCs w:val="24"/>
                <w:highlight w:val="none"/>
                <w:lang w:eastAsia="zh-CN"/>
              </w:rPr>
              <w:t>、</w:t>
            </w:r>
            <w:r>
              <w:rPr>
                <w:rFonts w:hint="eastAsia" w:ascii="宋体" w:hAnsi="宋体"/>
                <w:color w:val="auto"/>
                <w:sz w:val="24"/>
                <w:szCs w:val="24"/>
                <w:highlight w:val="none"/>
              </w:rPr>
              <w:t>铰链：采用定位铰链或2mm不锈钢合页。</w:t>
            </w:r>
          </w:p>
          <w:p w14:paraId="73E2C21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6</w:t>
            </w:r>
            <w:r>
              <w:rPr>
                <w:rFonts w:hint="eastAsia" w:ascii="宋体" w:hAnsi="宋体"/>
                <w:color w:val="auto"/>
                <w:sz w:val="24"/>
                <w:szCs w:val="24"/>
                <w:highlight w:val="none"/>
                <w:lang w:eastAsia="zh-CN"/>
              </w:rPr>
              <w:t>、</w:t>
            </w:r>
            <w:r>
              <w:rPr>
                <w:rFonts w:hint="eastAsia" w:ascii="宋体" w:hAnsi="宋体"/>
                <w:color w:val="auto"/>
                <w:sz w:val="24"/>
                <w:szCs w:val="24"/>
                <w:highlight w:val="none"/>
              </w:rPr>
              <w:t>调整脚：采用ABS新料模具一体成型的承重型可调节地脚，螺丝SUS304不锈钢材质。</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6D2FFD3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E50EEC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BA8C06F">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775A70C1">
            <w:pPr>
              <w:spacing w:beforeLines="0" w:afterLines="0"/>
              <w:jc w:val="center"/>
              <w:rPr>
                <w:rFonts w:hint="eastAsia" w:ascii="宋体" w:hAnsi="宋体"/>
                <w:color w:val="auto"/>
                <w:sz w:val="20"/>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F64A22E">
            <w:pPr>
              <w:spacing w:beforeLines="0" w:afterLines="0"/>
              <w:jc w:val="right"/>
              <w:rPr>
                <w:rFonts w:hint="eastAsia" w:ascii="宋体" w:hAnsi="宋体"/>
                <w:color w:val="auto"/>
                <w:sz w:val="22"/>
                <w:szCs w:val="24"/>
                <w:highlight w:val="none"/>
              </w:rPr>
            </w:pPr>
          </w:p>
        </w:tc>
      </w:tr>
      <w:tr w14:paraId="505CB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120BFD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10A446E">
            <w:pPr>
              <w:spacing w:beforeLines="0" w:afterLines="0"/>
              <w:jc w:val="right"/>
              <w:rPr>
                <w:rFonts w:hint="eastAsia" w:ascii="宋体" w:hAnsi="宋体"/>
                <w:color w:val="auto"/>
                <w:sz w:val="24"/>
                <w:szCs w:val="24"/>
                <w:highlight w:val="none"/>
              </w:rPr>
            </w:pPr>
          </w:p>
        </w:tc>
        <w:tc>
          <w:tcPr>
            <w:tcW w:w="2322" w:type="dxa"/>
            <w:tcBorders>
              <w:top w:val="single" w:color="auto" w:sz="6" w:space="0"/>
              <w:left w:val="single" w:color="auto" w:sz="6" w:space="0"/>
              <w:bottom w:val="single" w:color="auto" w:sz="6" w:space="0"/>
              <w:right w:val="single" w:color="auto" w:sz="6" w:space="0"/>
              <w:tl2br w:val="nil"/>
              <w:tr2bl w:val="nil"/>
            </w:tcBorders>
            <w:noWrap w:val="0"/>
            <w:vAlign w:val="top"/>
          </w:tcPr>
          <w:p w14:paraId="739CA61A">
            <w:pPr>
              <w:spacing w:beforeLines="0" w:afterLines="0"/>
              <w:jc w:val="center"/>
              <w:rPr>
                <w:rFonts w:hint="eastAsia" w:ascii="宋体" w:hAnsi="宋体"/>
                <w:b/>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60B2D7C8">
            <w:pPr>
              <w:spacing w:beforeLines="0" w:afterLines="0"/>
              <w:jc w:val="center"/>
              <w:rPr>
                <w:rFonts w:hint="eastAsia" w:ascii="宋体" w:hAnsi="宋体"/>
                <w:b/>
                <w:color w:val="auto"/>
                <w:sz w:val="28"/>
                <w:szCs w:val="24"/>
                <w:highlight w:val="none"/>
              </w:rPr>
            </w:pPr>
            <w:r>
              <w:rPr>
                <w:rFonts w:hint="eastAsia" w:ascii="宋体" w:hAnsi="宋体"/>
                <w:b/>
                <w:color w:val="auto"/>
                <w:sz w:val="28"/>
                <w:szCs w:val="24"/>
                <w:highlight w:val="none"/>
              </w:rPr>
              <w:t>顶装系统</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6140ED6E">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5D23E99">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60BBBEA">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097F9279">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80CD044">
            <w:pPr>
              <w:spacing w:beforeLines="0" w:afterLines="0"/>
              <w:jc w:val="right"/>
              <w:rPr>
                <w:rFonts w:hint="eastAsia" w:ascii="宋体" w:hAnsi="宋体"/>
                <w:color w:val="auto"/>
                <w:sz w:val="22"/>
                <w:szCs w:val="24"/>
                <w:highlight w:val="none"/>
              </w:rPr>
            </w:pPr>
          </w:p>
        </w:tc>
      </w:tr>
      <w:tr w14:paraId="6521BE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22740F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7920C4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智能系统控制柜</w:t>
            </w:r>
          </w:p>
        </w:tc>
        <w:tc>
          <w:tcPr>
            <w:tcW w:w="2322" w:type="dxa"/>
            <w:vMerge w:val="restart"/>
            <w:tcBorders>
              <w:top w:val="single" w:color="auto" w:sz="6" w:space="0"/>
              <w:left w:val="single" w:color="auto" w:sz="6" w:space="0"/>
              <w:right w:val="single" w:color="auto" w:sz="6" w:space="0"/>
              <w:tl2br w:val="nil"/>
              <w:tr2bl w:val="nil"/>
            </w:tcBorders>
            <w:noWrap w:val="0"/>
            <w:vAlign w:val="top"/>
          </w:tcPr>
          <w:tbl>
            <w:tblPr>
              <w:tblStyle w:val="2"/>
              <w:tblW w:w="2071"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71"/>
            </w:tblGrid>
            <w:tr w14:paraId="4688C5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AB6FE6C">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drawing>
                      <wp:inline distT="0" distB="0" distL="114300" distR="114300">
                        <wp:extent cx="1219200" cy="1933575"/>
                        <wp:effectExtent l="0" t="0" r="0" b="9525"/>
                        <wp:docPr id="36" name="图片 19"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19" descr="IMG_256"/>
                                <pic:cNvPicPr>
                                  <a:picLocks noChangeAspect="1"/>
                                </pic:cNvPicPr>
                              </pic:nvPicPr>
                              <pic:blipFill>
                                <a:blip r:embed="rId11"/>
                                <a:stretch>
                                  <a:fillRect/>
                                </a:stretch>
                              </pic:blipFill>
                              <pic:spPr>
                                <a:xfrm>
                                  <a:off x="0" y="0"/>
                                  <a:ext cx="1219200" cy="1933575"/>
                                </a:xfrm>
                                <a:prstGeom prst="rect">
                                  <a:avLst/>
                                </a:prstGeom>
                                <a:noFill/>
                                <a:ln w="9525">
                                  <a:noFill/>
                                </a:ln>
                              </pic:spPr>
                            </pic:pic>
                          </a:graphicData>
                        </a:graphic>
                      </wp:inline>
                    </w:drawing>
                  </w:r>
                </w:p>
              </w:tc>
            </w:tr>
            <w:tr w14:paraId="7DBCFE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5217F3F">
                  <w:pPr>
                    <w:jc w:val="center"/>
                    <w:rPr>
                      <w:rFonts w:hint="eastAsia" w:ascii="宋体" w:hAnsi="宋体" w:eastAsia="宋体" w:cs="宋体"/>
                      <w:i w:val="0"/>
                      <w:iCs w:val="0"/>
                      <w:color w:val="auto"/>
                      <w:sz w:val="20"/>
                      <w:szCs w:val="20"/>
                      <w:highlight w:val="none"/>
                      <w:u w:val="none"/>
                    </w:rPr>
                  </w:pPr>
                </w:p>
              </w:tc>
            </w:tr>
            <w:tr w14:paraId="05097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30074F">
                  <w:pPr>
                    <w:jc w:val="center"/>
                    <w:rPr>
                      <w:rFonts w:hint="eastAsia" w:ascii="宋体" w:hAnsi="宋体" w:eastAsia="宋体" w:cs="宋体"/>
                      <w:i w:val="0"/>
                      <w:iCs w:val="0"/>
                      <w:color w:val="auto"/>
                      <w:sz w:val="20"/>
                      <w:szCs w:val="20"/>
                      <w:highlight w:val="none"/>
                      <w:u w:val="none"/>
                    </w:rPr>
                  </w:pPr>
                </w:p>
              </w:tc>
            </w:tr>
            <w:tr w14:paraId="103CE5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7921D5">
                  <w:pPr>
                    <w:jc w:val="center"/>
                    <w:rPr>
                      <w:rFonts w:hint="eastAsia" w:ascii="宋体" w:hAnsi="宋体" w:eastAsia="宋体" w:cs="宋体"/>
                      <w:i w:val="0"/>
                      <w:iCs w:val="0"/>
                      <w:color w:val="auto"/>
                      <w:sz w:val="20"/>
                      <w:szCs w:val="20"/>
                      <w:highlight w:val="none"/>
                      <w:u w:val="none"/>
                    </w:rPr>
                  </w:pPr>
                </w:p>
              </w:tc>
            </w:tr>
            <w:tr w14:paraId="3958C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308BB9">
                  <w:pPr>
                    <w:jc w:val="center"/>
                    <w:rPr>
                      <w:rFonts w:hint="eastAsia" w:ascii="宋体" w:hAnsi="宋体" w:eastAsia="宋体" w:cs="宋体"/>
                      <w:i w:val="0"/>
                      <w:iCs w:val="0"/>
                      <w:color w:val="auto"/>
                      <w:sz w:val="20"/>
                      <w:szCs w:val="20"/>
                      <w:highlight w:val="none"/>
                      <w:u w:val="none"/>
                    </w:rPr>
                  </w:pPr>
                </w:p>
              </w:tc>
            </w:tr>
          </w:tbl>
          <w:p w14:paraId="58F24FDD">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4725D1C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智能控制柜：内置总电源开关1个，漏电保护器一个，电源保护器1个，单片机控制器及功能扩展模块1套，单片机保护模块1个、急停控制系统1个，工作指示灯系统1套（每个学生电一个指示灯，老师随时掌握学生漏电保护器通短），分组控制系统3套（电源控制系统、照明控制系统、）。</w:t>
            </w:r>
          </w:p>
          <w:p w14:paraId="3334A79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电源控制系统：可以对220V进行控制，可以单独进行控制，进行单选、全选、反选，分组进行控制；</w:t>
            </w:r>
          </w:p>
          <w:p w14:paraId="3A8B2DC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照明控制系统可以对照明进行控制，可以单独进行控制，进行单选、全选、反选，分组进行控制；</w:t>
            </w:r>
          </w:p>
          <w:p w14:paraId="1D569BC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、智能升降控制系统：可以对产品进行控制，可以单独进行控制，进行单选、全选、反选，分组进行控制；</w:t>
            </w:r>
          </w:p>
          <w:p w14:paraId="5DE4D25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控制系统：采用自主研发控制系统。</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35F3A6E5">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0AF418F">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58A20D9">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3FF40817">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8265373">
            <w:pPr>
              <w:spacing w:beforeLines="0" w:afterLines="0"/>
              <w:jc w:val="right"/>
              <w:rPr>
                <w:rFonts w:hint="eastAsia" w:ascii="宋体" w:hAnsi="宋体"/>
                <w:color w:val="auto"/>
                <w:sz w:val="22"/>
                <w:szCs w:val="24"/>
                <w:highlight w:val="none"/>
              </w:rPr>
            </w:pPr>
          </w:p>
        </w:tc>
      </w:tr>
      <w:tr w14:paraId="2D86B1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34A679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8BC144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顶装智能控制平台</w:t>
            </w:r>
          </w:p>
        </w:tc>
        <w:tc>
          <w:tcPr>
            <w:tcW w:w="2322" w:type="dxa"/>
            <w:vMerge w:val="continue"/>
            <w:tcBorders>
              <w:left w:val="single" w:color="auto" w:sz="6" w:space="0"/>
              <w:right w:val="single" w:color="auto" w:sz="6" w:space="0"/>
              <w:tl2br w:val="nil"/>
              <w:tr2bl w:val="nil"/>
            </w:tcBorders>
            <w:noWrap w:val="0"/>
            <w:vAlign w:val="top"/>
          </w:tcPr>
          <w:p w14:paraId="7839CDEA">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4239EDA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规格：10寸触摸屏。</w:t>
            </w:r>
          </w:p>
          <w:p w14:paraId="738B369F">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集中控制系统。可执行各分项分页控制；</w:t>
            </w:r>
          </w:p>
          <w:p w14:paraId="7853EEF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照明控制：分组控制整室照明；</w:t>
            </w:r>
          </w:p>
          <w:p w14:paraId="54F6A96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 xml:space="preserve">电源控制：控制学生AC220V电源； </w:t>
            </w:r>
          </w:p>
          <w:p w14:paraId="569382F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升降控制：可以实现单个控制，可以集中控制，可以任意组合控制。</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2D92575D">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27B9CD8">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0CDDE01">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661B808E">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1ED7F9">
            <w:pPr>
              <w:spacing w:beforeLines="0" w:afterLines="0"/>
              <w:jc w:val="right"/>
              <w:rPr>
                <w:rFonts w:hint="eastAsia" w:ascii="宋体" w:hAnsi="宋体"/>
                <w:color w:val="auto"/>
                <w:sz w:val="22"/>
                <w:szCs w:val="24"/>
                <w:highlight w:val="none"/>
              </w:rPr>
            </w:pPr>
          </w:p>
        </w:tc>
      </w:tr>
      <w:tr w14:paraId="46A312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10EE8C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B4E3365">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学生端分组控制系统</w:t>
            </w:r>
          </w:p>
        </w:tc>
        <w:tc>
          <w:tcPr>
            <w:tcW w:w="2322" w:type="dxa"/>
            <w:vMerge w:val="continue"/>
            <w:tcBorders>
              <w:left w:val="single" w:color="auto" w:sz="6" w:space="0"/>
              <w:right w:val="single" w:color="auto" w:sz="6" w:space="0"/>
              <w:tl2br w:val="nil"/>
              <w:tr2bl w:val="nil"/>
            </w:tcBorders>
            <w:noWrap w:val="0"/>
            <w:vAlign w:val="top"/>
          </w:tcPr>
          <w:p w14:paraId="620E32CA">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2E03F00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可以对学生端模块的电源控制系统、照明控制系统、给排水控制系统、智能升降控制系统经行独立分组控制，实现全选、反选、单选功能</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1DA7C4E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1B98F56">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50E5E8">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02C6FA83">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6ECE072">
            <w:pPr>
              <w:spacing w:beforeLines="0" w:afterLines="0"/>
              <w:jc w:val="right"/>
              <w:rPr>
                <w:rFonts w:hint="eastAsia" w:ascii="宋体" w:hAnsi="宋体"/>
                <w:color w:val="auto"/>
                <w:sz w:val="22"/>
                <w:szCs w:val="24"/>
                <w:highlight w:val="none"/>
              </w:rPr>
            </w:pPr>
          </w:p>
        </w:tc>
      </w:tr>
      <w:tr w14:paraId="71923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3A0336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62EC63">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远程控制系统</w:t>
            </w:r>
          </w:p>
        </w:tc>
        <w:tc>
          <w:tcPr>
            <w:tcW w:w="2322" w:type="dxa"/>
            <w:vMerge w:val="continue"/>
            <w:tcBorders>
              <w:left w:val="single" w:color="auto" w:sz="6" w:space="0"/>
              <w:right w:val="single" w:color="auto" w:sz="6" w:space="0"/>
              <w:tl2br w:val="nil"/>
              <w:tr2bl w:val="nil"/>
            </w:tcBorders>
            <w:noWrap w:val="0"/>
            <w:vAlign w:val="top"/>
          </w:tcPr>
          <w:p w14:paraId="5B91CD2A">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79B39F3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、APP登入有网络注册功能，注册后登入系统操作，使用者忘记密码方便找回，同时方便升级系统，带来新的体验。</w:t>
            </w:r>
          </w:p>
          <w:p w14:paraId="0CC06A7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2</w:t>
            </w:r>
            <w:r>
              <w:rPr>
                <w:rFonts w:hint="eastAsia" w:ascii="宋体" w:hAnsi="宋体"/>
                <w:color w:val="auto"/>
                <w:sz w:val="24"/>
                <w:szCs w:val="24"/>
                <w:highlight w:val="none"/>
              </w:rPr>
              <w:t>、能使用APP能控制总电源关闭；</w:t>
            </w:r>
          </w:p>
          <w:p w14:paraId="172825D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3</w:t>
            </w:r>
            <w:r>
              <w:rPr>
                <w:rFonts w:hint="eastAsia" w:ascii="宋体" w:hAnsi="宋体"/>
                <w:color w:val="auto"/>
                <w:sz w:val="24"/>
                <w:szCs w:val="24"/>
                <w:highlight w:val="none"/>
              </w:rPr>
              <w:t>、APP能显示当前温度、相对湿度及当前时间；</w:t>
            </w:r>
          </w:p>
          <w:p w14:paraId="0F014F1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4</w:t>
            </w:r>
            <w:r>
              <w:rPr>
                <w:rFonts w:hint="eastAsia" w:ascii="宋体" w:hAnsi="宋体"/>
                <w:color w:val="auto"/>
                <w:sz w:val="24"/>
                <w:szCs w:val="24"/>
                <w:highlight w:val="none"/>
              </w:rPr>
              <w:t>、使用APP能控制学生低压电源的交流电压，且电压值为实测值。如APP给学生交流3V，学生电源电压实测电压为3V；</w:t>
            </w:r>
          </w:p>
          <w:p w14:paraId="7509FB2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5</w:t>
            </w:r>
            <w:r>
              <w:rPr>
                <w:rFonts w:hint="eastAsia" w:ascii="宋体" w:hAnsi="宋体"/>
                <w:color w:val="auto"/>
                <w:sz w:val="24"/>
                <w:szCs w:val="24"/>
                <w:highlight w:val="none"/>
              </w:rPr>
              <w:t>、使用APP同时控制电、光源开启与关闭，同时可以扩展功能（监控布防、空调控制等等）</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56E139C4">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801AA57">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C90D186">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3C414913">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75D9E20">
            <w:pPr>
              <w:spacing w:beforeLines="0" w:afterLines="0"/>
              <w:jc w:val="right"/>
              <w:rPr>
                <w:rFonts w:hint="eastAsia" w:ascii="宋体" w:hAnsi="宋体"/>
                <w:color w:val="auto"/>
                <w:sz w:val="22"/>
                <w:szCs w:val="24"/>
                <w:highlight w:val="none"/>
              </w:rPr>
            </w:pPr>
          </w:p>
        </w:tc>
      </w:tr>
      <w:tr w14:paraId="5A4D7F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25932D">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4286A9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温湿度监视系统</w:t>
            </w:r>
          </w:p>
        </w:tc>
        <w:tc>
          <w:tcPr>
            <w:tcW w:w="2322" w:type="dxa"/>
            <w:vMerge w:val="continue"/>
            <w:tcBorders>
              <w:left w:val="single" w:color="auto" w:sz="6" w:space="0"/>
              <w:bottom w:val="single" w:color="auto" w:sz="6" w:space="0"/>
              <w:right w:val="single" w:color="auto" w:sz="6" w:space="0"/>
              <w:tl2br w:val="nil"/>
              <w:tr2bl w:val="nil"/>
            </w:tcBorders>
            <w:noWrap w:val="0"/>
            <w:vAlign w:val="top"/>
          </w:tcPr>
          <w:p w14:paraId="144D73D7">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3672B27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定制内置精密温湿度传感装置，实时监控房间内的温度和湿度，保障室内舒适的环境舒适性，在触摸屏中实时显示当前环境的温度和湿度。</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36A66CFF">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1BA8600">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E03FD14">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45DA4333">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E28B6C7">
            <w:pPr>
              <w:spacing w:beforeLines="0" w:afterLines="0"/>
              <w:jc w:val="right"/>
              <w:rPr>
                <w:rFonts w:hint="eastAsia" w:ascii="宋体" w:hAnsi="宋体"/>
                <w:color w:val="auto"/>
                <w:sz w:val="22"/>
                <w:szCs w:val="24"/>
                <w:highlight w:val="none"/>
              </w:rPr>
            </w:pPr>
          </w:p>
        </w:tc>
      </w:tr>
      <w:tr w14:paraId="138DD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D7A1655">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17</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0468E9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主体框架</w:t>
            </w:r>
          </w:p>
        </w:tc>
        <w:tc>
          <w:tcPr>
            <w:tcW w:w="2322" w:type="dxa"/>
            <w:vMerge w:val="restart"/>
            <w:tcBorders>
              <w:top w:val="single" w:color="auto" w:sz="6" w:space="0"/>
              <w:left w:val="single" w:color="auto" w:sz="6" w:space="0"/>
              <w:right w:val="single" w:color="auto" w:sz="6" w:space="0"/>
              <w:tl2br w:val="nil"/>
              <w:tr2bl w:val="nil"/>
            </w:tcBorders>
            <w:noWrap w:val="0"/>
            <w:vAlign w:val="top"/>
          </w:tcPr>
          <w:tbl>
            <w:tblPr>
              <w:tblStyle w:val="2"/>
              <w:tblW w:w="2071" w:type="dxa"/>
              <w:tblInd w:w="-2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2071"/>
            </w:tblGrid>
            <w:tr w14:paraId="66F774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00" w:hRule="atLeast"/>
              </w:trPr>
              <w:tc>
                <w:tcPr>
                  <w:tcW w:w="207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885094">
                  <w:pPr>
                    <w:keepNext w:val="0"/>
                    <w:keepLines w:val="0"/>
                    <w:widowControl/>
                    <w:suppressLineNumbers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drawing>
                      <wp:inline distT="0" distB="0" distL="114300" distR="114300">
                        <wp:extent cx="533400" cy="2047875"/>
                        <wp:effectExtent l="0" t="0" r="0" b="9525"/>
                        <wp:docPr id="22" name="图片 1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2" descr="IMG_256"/>
                                <pic:cNvPicPr>
                                  <a:picLocks noChangeAspect="1"/>
                                </pic:cNvPicPr>
                              </pic:nvPicPr>
                              <pic:blipFill>
                                <a:blip r:embed="rId12"/>
                                <a:stretch>
                                  <a:fillRect/>
                                </a:stretch>
                              </pic:blipFill>
                              <pic:spPr>
                                <a:xfrm>
                                  <a:off x="0" y="0"/>
                                  <a:ext cx="533400" cy="2047875"/>
                                </a:xfrm>
                                <a:prstGeom prst="rect">
                                  <a:avLst/>
                                </a:prstGeom>
                                <a:noFill/>
                                <a:ln w="9525">
                                  <a:noFill/>
                                </a:ln>
                              </pic:spPr>
                            </pic:pic>
                          </a:graphicData>
                        </a:graphic>
                      </wp:inline>
                    </w:drawing>
                  </w:r>
                </w:p>
              </w:tc>
            </w:tr>
            <w:tr w14:paraId="4B6A2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6EB94AE">
                  <w:pPr>
                    <w:jc w:val="center"/>
                    <w:rPr>
                      <w:rFonts w:hint="eastAsia" w:ascii="宋体" w:hAnsi="宋体" w:eastAsia="宋体" w:cs="宋体"/>
                      <w:i w:val="0"/>
                      <w:iCs w:val="0"/>
                      <w:color w:val="auto"/>
                      <w:sz w:val="20"/>
                      <w:szCs w:val="20"/>
                      <w:highlight w:val="none"/>
                      <w:u w:val="none"/>
                    </w:rPr>
                  </w:pPr>
                </w:p>
              </w:tc>
            </w:tr>
            <w:tr w14:paraId="65FE54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22F178E">
                  <w:pPr>
                    <w:jc w:val="center"/>
                    <w:rPr>
                      <w:rFonts w:hint="eastAsia" w:ascii="宋体" w:hAnsi="宋体" w:eastAsia="宋体" w:cs="宋体"/>
                      <w:i w:val="0"/>
                      <w:iCs w:val="0"/>
                      <w:color w:val="auto"/>
                      <w:sz w:val="20"/>
                      <w:szCs w:val="20"/>
                      <w:highlight w:val="none"/>
                      <w:u w:val="none"/>
                    </w:rPr>
                  </w:pPr>
                </w:p>
              </w:tc>
            </w:tr>
            <w:tr w14:paraId="3E8D703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BF6FFD0">
                  <w:pPr>
                    <w:jc w:val="center"/>
                    <w:rPr>
                      <w:rFonts w:hint="eastAsia" w:ascii="宋体" w:hAnsi="宋体" w:eastAsia="宋体" w:cs="宋体"/>
                      <w:i w:val="0"/>
                      <w:iCs w:val="0"/>
                      <w:color w:val="auto"/>
                      <w:sz w:val="20"/>
                      <w:szCs w:val="20"/>
                      <w:highlight w:val="none"/>
                      <w:u w:val="none"/>
                    </w:rPr>
                  </w:pPr>
                </w:p>
              </w:tc>
            </w:tr>
            <w:tr w14:paraId="32BDF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3EF8B5F">
                  <w:pPr>
                    <w:jc w:val="center"/>
                    <w:rPr>
                      <w:rFonts w:hint="eastAsia" w:ascii="宋体" w:hAnsi="宋体" w:eastAsia="宋体" w:cs="宋体"/>
                      <w:i w:val="0"/>
                      <w:iCs w:val="0"/>
                      <w:color w:val="auto"/>
                      <w:sz w:val="20"/>
                      <w:szCs w:val="20"/>
                      <w:highlight w:val="none"/>
                      <w:u w:val="none"/>
                    </w:rPr>
                  </w:pPr>
                </w:p>
              </w:tc>
            </w:tr>
            <w:tr w14:paraId="1B130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207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4222757">
                  <w:pPr>
                    <w:jc w:val="center"/>
                    <w:rPr>
                      <w:rFonts w:hint="eastAsia" w:ascii="宋体" w:hAnsi="宋体" w:eastAsia="宋体" w:cs="宋体"/>
                      <w:i w:val="0"/>
                      <w:iCs w:val="0"/>
                      <w:color w:val="auto"/>
                      <w:sz w:val="20"/>
                      <w:szCs w:val="20"/>
                      <w:highlight w:val="none"/>
                      <w:u w:val="none"/>
                    </w:rPr>
                  </w:pPr>
                </w:p>
              </w:tc>
            </w:tr>
          </w:tbl>
          <w:p w14:paraId="529F6459">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09E74F9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采用优质镀锌钢板经激光切割、数控冲压、数控折弯成型，生产工业采取模块组合，便于安装，外观流线形设计，简洁美观,表面经环氧树脂粉末静电喷涂、高温固化处理，耐腐蚀。</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31F5783D">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2AA65F5">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83A1D5">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79510E13">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D7B4F5">
            <w:pPr>
              <w:spacing w:beforeLines="0" w:afterLines="0"/>
              <w:jc w:val="right"/>
              <w:rPr>
                <w:rFonts w:hint="eastAsia" w:ascii="宋体" w:hAnsi="宋体"/>
                <w:color w:val="auto"/>
                <w:sz w:val="22"/>
                <w:szCs w:val="24"/>
                <w:highlight w:val="none"/>
              </w:rPr>
            </w:pPr>
          </w:p>
        </w:tc>
      </w:tr>
      <w:tr w14:paraId="2DEFDC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E3BAAB0">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86121A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电源升降系统</w:t>
            </w:r>
          </w:p>
        </w:tc>
        <w:tc>
          <w:tcPr>
            <w:tcW w:w="2322" w:type="dxa"/>
            <w:vMerge w:val="continue"/>
            <w:tcBorders>
              <w:left w:val="single" w:color="auto" w:sz="6" w:space="0"/>
              <w:right w:val="single" w:color="auto" w:sz="6" w:space="0"/>
              <w:tl2br w:val="nil"/>
              <w:tr2bl w:val="nil"/>
            </w:tcBorders>
            <w:noWrap w:val="0"/>
            <w:vAlign w:val="top"/>
          </w:tcPr>
          <w:p w14:paraId="2453DE4F">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0D20EC5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采用为直流24V低压减速电机，带动卷线盘实现电源主体上下运动.</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51FFF01D">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D1729C7">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78C51C">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5C17A2A5">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9ACC437">
            <w:pPr>
              <w:spacing w:beforeLines="0" w:afterLines="0"/>
              <w:jc w:val="right"/>
              <w:rPr>
                <w:rFonts w:hint="eastAsia" w:ascii="宋体" w:hAnsi="宋体"/>
                <w:color w:val="auto"/>
                <w:sz w:val="22"/>
                <w:szCs w:val="24"/>
                <w:highlight w:val="none"/>
              </w:rPr>
            </w:pPr>
          </w:p>
        </w:tc>
      </w:tr>
      <w:tr w14:paraId="4C6FE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B8DC4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19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23F6CD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升降电源主体</w:t>
            </w:r>
          </w:p>
        </w:tc>
        <w:tc>
          <w:tcPr>
            <w:tcW w:w="2322" w:type="dxa"/>
            <w:vMerge w:val="continue"/>
            <w:tcBorders>
              <w:left w:val="single" w:color="auto" w:sz="6" w:space="0"/>
              <w:right w:val="single" w:color="auto" w:sz="6" w:space="0"/>
              <w:tl2br w:val="nil"/>
              <w:tr2bl w:val="nil"/>
            </w:tcBorders>
            <w:noWrap w:val="0"/>
            <w:vAlign w:val="top"/>
          </w:tcPr>
          <w:p w14:paraId="4455FBC0">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6C61750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接收智能化控制系统控制终端，主体外壳采用阻燃剂ABS注塑成型，预留多个供应系统安装位置。</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17A1ACC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8433278">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5D6D09D">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1426940">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C888D67">
            <w:pPr>
              <w:spacing w:beforeLines="0" w:afterLines="0"/>
              <w:jc w:val="right"/>
              <w:rPr>
                <w:rFonts w:hint="eastAsia" w:ascii="宋体" w:hAnsi="宋体"/>
                <w:color w:val="auto"/>
                <w:sz w:val="22"/>
                <w:szCs w:val="24"/>
                <w:highlight w:val="none"/>
              </w:rPr>
            </w:pPr>
          </w:p>
        </w:tc>
      </w:tr>
      <w:tr w14:paraId="53C221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3DF2D3A">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20</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AC84C6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低压电源模块</w:t>
            </w:r>
          </w:p>
        </w:tc>
        <w:tc>
          <w:tcPr>
            <w:tcW w:w="2322" w:type="dxa"/>
            <w:vMerge w:val="continue"/>
            <w:tcBorders>
              <w:left w:val="single" w:color="auto" w:sz="6" w:space="0"/>
              <w:right w:val="single" w:color="auto" w:sz="6" w:space="0"/>
              <w:tl2br w:val="nil"/>
              <w:tr2bl w:val="nil"/>
            </w:tcBorders>
            <w:noWrap w:val="0"/>
            <w:vAlign w:val="top"/>
          </w:tcPr>
          <w:p w14:paraId="3C33E7D1">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0B96F079">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1、教师主控型，学生低压电源都可接收主控电源发送的锁定信号，在锁定指示灯点亮后，学生接收老师输送的设定电源电压，教师锁定时,学生自己无法操作，这样可避免学生的误操作。可以分组或独立控制；</w:t>
            </w:r>
          </w:p>
          <w:p w14:paraId="13645AD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2、学生电源采用耐磨、耐腐蚀、耐高温的PC亮光薄膜面板，学生电源的控制采用按钮式按键，可以随意设置电压，贴片元件生产技术，微电脑控制，采用液晶显示电源学生交直流电压 ；</w:t>
            </w:r>
          </w:p>
          <w:p w14:paraId="0F43FDCA">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 xml:space="preserve">3、学生交流电源通过上下键0～30V电压，最小调节单元可达1V,额定电流2A； </w:t>
            </w:r>
          </w:p>
          <w:p w14:paraId="16249184">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4、学生直流电源也是通过上下键选取，调节范围为0～30V，分辨率可达0.1V,额定电流2A。</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311AFFA8">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3BB1D3F">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D1CDF6">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8CFAB84">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0DD79FA">
            <w:pPr>
              <w:spacing w:beforeLines="0" w:afterLines="0"/>
              <w:jc w:val="right"/>
              <w:rPr>
                <w:rFonts w:hint="eastAsia" w:ascii="宋体" w:hAnsi="宋体"/>
                <w:color w:val="auto"/>
                <w:sz w:val="22"/>
                <w:szCs w:val="24"/>
                <w:highlight w:val="none"/>
              </w:rPr>
            </w:pPr>
          </w:p>
        </w:tc>
      </w:tr>
      <w:tr w14:paraId="73161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9A94A3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194B3A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高压电源模块</w:t>
            </w:r>
          </w:p>
        </w:tc>
        <w:tc>
          <w:tcPr>
            <w:tcW w:w="2322" w:type="dxa"/>
            <w:vMerge w:val="continue"/>
            <w:tcBorders>
              <w:left w:val="single" w:color="auto" w:sz="6" w:space="0"/>
              <w:right w:val="single" w:color="auto" w:sz="6" w:space="0"/>
              <w:tl2br w:val="nil"/>
              <w:tr2bl w:val="nil"/>
            </w:tcBorders>
            <w:noWrap w:val="0"/>
            <w:vAlign w:val="top"/>
          </w:tcPr>
          <w:p w14:paraId="28BD7469">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639695F2">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采用220V，4组国标多功能安全插座，带漏电保护功能</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27F3E30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F1F00CE">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DEC200">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6F6C1F3D">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A326C25">
            <w:pPr>
              <w:spacing w:beforeLines="0" w:afterLines="0"/>
              <w:jc w:val="right"/>
              <w:rPr>
                <w:rFonts w:hint="eastAsia" w:ascii="宋体" w:hAnsi="宋体"/>
                <w:color w:val="auto"/>
                <w:sz w:val="22"/>
                <w:szCs w:val="24"/>
                <w:highlight w:val="none"/>
              </w:rPr>
            </w:pPr>
          </w:p>
        </w:tc>
      </w:tr>
      <w:tr w14:paraId="6CF62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A8ABD4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2BF4290">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USB充电模块</w:t>
            </w:r>
          </w:p>
        </w:tc>
        <w:tc>
          <w:tcPr>
            <w:tcW w:w="2322" w:type="dxa"/>
            <w:vMerge w:val="continue"/>
            <w:tcBorders>
              <w:left w:val="single" w:color="auto" w:sz="6" w:space="0"/>
              <w:bottom w:val="single" w:color="auto" w:sz="6" w:space="0"/>
              <w:right w:val="single" w:color="auto" w:sz="6" w:space="0"/>
              <w:tl2br w:val="nil"/>
              <w:tr2bl w:val="nil"/>
            </w:tcBorders>
            <w:noWrap w:val="0"/>
            <w:vAlign w:val="top"/>
          </w:tcPr>
          <w:p w14:paraId="489D37B1">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68A51B2C">
            <w:pPr>
              <w:numPr>
                <w:ilvl w:val="0"/>
                <w:numId w:val="1"/>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输出电压：默认5V，触发快充后在3-12V之间自动调整；</w:t>
            </w:r>
          </w:p>
          <w:p w14:paraId="6A999BC7">
            <w:pPr>
              <w:numPr>
                <w:ilvl w:val="0"/>
                <w:numId w:val="1"/>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输出功率：最大24W（5V@3.4A，9V@2.5A，12V@2A等）；</w:t>
            </w:r>
          </w:p>
          <w:p w14:paraId="48C393B3">
            <w:pPr>
              <w:numPr>
                <w:ilvl w:val="0"/>
                <w:numId w:val="1"/>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输入过压、欠压保护；</w:t>
            </w:r>
          </w:p>
          <w:p w14:paraId="5ED97B50">
            <w:pPr>
              <w:numPr>
                <w:ilvl w:val="0"/>
                <w:numId w:val="1"/>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输入过流保护；输出过流、短路保护 。</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7286A4AD">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0658079">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个</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D7C151">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429BE7F8">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C88FC31">
            <w:pPr>
              <w:spacing w:beforeLines="0" w:afterLines="0"/>
              <w:jc w:val="right"/>
              <w:rPr>
                <w:rFonts w:hint="eastAsia" w:ascii="宋体" w:hAnsi="宋体"/>
                <w:color w:val="auto"/>
                <w:sz w:val="22"/>
                <w:szCs w:val="24"/>
                <w:highlight w:val="none"/>
              </w:rPr>
            </w:pPr>
          </w:p>
        </w:tc>
      </w:tr>
      <w:tr w14:paraId="35BEA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8D321E3">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EE51EE">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供电线路</w:t>
            </w:r>
          </w:p>
        </w:tc>
        <w:tc>
          <w:tcPr>
            <w:tcW w:w="2322" w:type="dxa"/>
            <w:tcBorders>
              <w:top w:val="single" w:color="auto" w:sz="6" w:space="0"/>
              <w:left w:val="single" w:color="auto" w:sz="6" w:space="0"/>
              <w:bottom w:val="single" w:color="auto" w:sz="6" w:space="0"/>
              <w:right w:val="single" w:color="auto" w:sz="6" w:space="0"/>
              <w:tl2br w:val="nil"/>
              <w:tr2bl w:val="nil"/>
            </w:tcBorders>
            <w:noWrap w:val="0"/>
            <w:vAlign w:val="top"/>
          </w:tcPr>
          <w:p w14:paraId="0E6FCEE6">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561E72C3">
            <w:pPr>
              <w:numPr>
                <w:ilvl w:val="0"/>
                <w:numId w:val="2"/>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模块化设计，每组模块间采用活接式连接，方便安装、检修。</w:t>
            </w:r>
          </w:p>
          <w:p w14:paraId="569EFFE5">
            <w:pPr>
              <w:numPr>
                <w:ilvl w:val="0"/>
                <w:numId w:val="2"/>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采用2.5mm²电线进行系统布线（国标免检产品）。</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38CBBE0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59AAFC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DAC8FB7">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7B5FDC1">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3D3FF1E">
            <w:pPr>
              <w:spacing w:beforeLines="0" w:afterLines="0"/>
              <w:jc w:val="right"/>
              <w:rPr>
                <w:rFonts w:hint="eastAsia" w:ascii="宋体" w:hAnsi="宋体"/>
                <w:color w:val="auto"/>
                <w:sz w:val="22"/>
                <w:szCs w:val="24"/>
                <w:highlight w:val="none"/>
              </w:rPr>
            </w:pPr>
          </w:p>
        </w:tc>
      </w:tr>
      <w:tr w14:paraId="3E2456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4784CB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F01886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智能照明</w:t>
            </w:r>
          </w:p>
        </w:tc>
        <w:tc>
          <w:tcPr>
            <w:tcW w:w="2322" w:type="dxa"/>
            <w:tcBorders>
              <w:top w:val="single" w:color="auto" w:sz="6" w:space="0"/>
              <w:left w:val="single" w:color="auto" w:sz="6" w:space="0"/>
              <w:bottom w:val="single" w:color="auto" w:sz="6" w:space="0"/>
              <w:right w:val="single" w:color="auto" w:sz="6" w:space="0"/>
              <w:tl2br w:val="nil"/>
              <w:tr2bl w:val="nil"/>
            </w:tcBorders>
            <w:noWrap w:val="0"/>
            <w:vAlign w:val="top"/>
          </w:tcPr>
          <w:p w14:paraId="331F34C1">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6CF18351">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lang w:val="en-US" w:eastAsia="zh-CN"/>
              </w:rPr>
              <w:t>1、</w:t>
            </w:r>
            <w:r>
              <w:rPr>
                <w:rFonts w:hint="eastAsia" w:ascii="宋体" w:hAnsi="宋体"/>
                <w:color w:val="auto"/>
                <w:sz w:val="24"/>
                <w:szCs w:val="24"/>
                <w:highlight w:val="none"/>
              </w:rPr>
              <w:t>采用1个标准LED模组，每个模组功率10W，灯板采用2.0mm厚pc光扩散板，扩大了发光面。而使光线变的柔和，达到匀光而又透光的目的，同时满足各种雾度值和透光率的需求。及在保证高透光率，降低光衰的情况下，有着良好的光源遮蔽性效果</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0E36E19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B352D2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78C1109">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280762C3">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3EB9B82">
            <w:pPr>
              <w:spacing w:beforeLines="0" w:afterLines="0"/>
              <w:jc w:val="right"/>
              <w:rPr>
                <w:rFonts w:hint="eastAsia" w:ascii="宋体" w:hAnsi="宋体"/>
                <w:color w:val="auto"/>
                <w:sz w:val="22"/>
                <w:szCs w:val="24"/>
                <w:highlight w:val="none"/>
              </w:rPr>
            </w:pPr>
          </w:p>
        </w:tc>
      </w:tr>
      <w:tr w14:paraId="56DD0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9CD2BB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4184B7D">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安装调试</w:t>
            </w:r>
          </w:p>
        </w:tc>
        <w:tc>
          <w:tcPr>
            <w:tcW w:w="2322" w:type="dxa"/>
            <w:tcBorders>
              <w:top w:val="single" w:color="auto" w:sz="6" w:space="0"/>
              <w:left w:val="single" w:color="auto" w:sz="6" w:space="0"/>
              <w:bottom w:val="single" w:color="auto" w:sz="6" w:space="0"/>
              <w:right w:val="single" w:color="auto" w:sz="6" w:space="0"/>
              <w:tl2br w:val="nil"/>
              <w:tr2bl w:val="nil"/>
            </w:tcBorders>
            <w:noWrap w:val="0"/>
            <w:vAlign w:val="top"/>
          </w:tcPr>
          <w:p w14:paraId="1F09E88C">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13A603D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1、吊顶式安装系统采用模块化结构设计，采用吊装安装方式；</w:t>
            </w:r>
          </w:p>
          <w:p w14:paraId="02DD480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2、系统结构安装调试；</w:t>
            </w:r>
          </w:p>
          <w:p w14:paraId="0B442FB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3、系统控制安装调试；</w:t>
            </w:r>
          </w:p>
          <w:p w14:paraId="769A40AB">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4、供电系统安装调试；</w:t>
            </w:r>
          </w:p>
          <w:p w14:paraId="7FE7D5A7">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5、照明系统安装调试。</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24EE3C5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BB9C443">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61EF7E0">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430B58BB">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E842724">
            <w:pPr>
              <w:spacing w:beforeLines="0" w:afterLines="0"/>
              <w:jc w:val="right"/>
              <w:rPr>
                <w:rFonts w:hint="eastAsia" w:ascii="宋体" w:hAnsi="宋体"/>
                <w:color w:val="auto"/>
                <w:sz w:val="22"/>
                <w:szCs w:val="24"/>
                <w:highlight w:val="none"/>
              </w:rPr>
            </w:pPr>
          </w:p>
        </w:tc>
      </w:tr>
      <w:tr w14:paraId="1DA84A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F1CF392">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6998726">
            <w:p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系统安装辅件</w:t>
            </w:r>
          </w:p>
        </w:tc>
        <w:tc>
          <w:tcPr>
            <w:tcW w:w="2322" w:type="dxa"/>
            <w:tcBorders>
              <w:top w:val="single" w:color="auto" w:sz="6" w:space="0"/>
              <w:left w:val="single" w:color="auto" w:sz="6" w:space="0"/>
              <w:bottom w:val="single" w:color="auto" w:sz="6" w:space="0"/>
              <w:right w:val="single" w:color="auto" w:sz="6" w:space="0"/>
              <w:tl2br w:val="nil"/>
              <w:tr2bl w:val="nil"/>
            </w:tcBorders>
            <w:noWrap w:val="0"/>
            <w:vAlign w:val="top"/>
          </w:tcPr>
          <w:p w14:paraId="25C56CC8">
            <w:pPr>
              <w:spacing w:beforeLines="0" w:afterLines="0"/>
              <w:jc w:val="center"/>
              <w:rPr>
                <w:rFonts w:hint="eastAsia" w:ascii="宋体" w:hAnsi="宋体"/>
                <w:color w:val="auto"/>
                <w:sz w:val="20"/>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3B4C7019">
            <w:pPr>
              <w:numPr>
                <w:ilvl w:val="0"/>
                <w:numId w:val="3"/>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采用型材吊装方式，减少楼板承重，防止左右晃动，可进行上下、左右的平衡调节。</w:t>
            </w:r>
          </w:p>
          <w:p w14:paraId="50C7E457">
            <w:pPr>
              <w:numPr>
                <w:ilvl w:val="0"/>
                <w:numId w:val="3"/>
              </w:numPr>
              <w:spacing w:beforeLines="0" w:afterLines="0"/>
              <w:jc w:val="left"/>
              <w:rPr>
                <w:rFonts w:hint="eastAsia" w:ascii="宋体" w:hAnsi="宋体"/>
                <w:color w:val="auto"/>
                <w:sz w:val="24"/>
                <w:szCs w:val="24"/>
                <w:highlight w:val="none"/>
              </w:rPr>
            </w:pPr>
            <w:r>
              <w:rPr>
                <w:rFonts w:hint="eastAsia" w:ascii="宋体" w:hAnsi="宋体"/>
                <w:color w:val="auto"/>
                <w:sz w:val="24"/>
                <w:szCs w:val="24"/>
                <w:highlight w:val="none"/>
              </w:rPr>
              <w:t>主要辅件有：型材、龙骨架连接件、高度调节结构等。</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2EC4406B">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13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B95431C">
            <w:pPr>
              <w:spacing w:beforeLines="0" w:afterLines="0"/>
              <w:jc w:val="center"/>
              <w:rPr>
                <w:rFonts w:hint="eastAsia" w:ascii="宋体" w:hAnsi="宋体"/>
                <w:color w:val="auto"/>
                <w:sz w:val="24"/>
                <w:szCs w:val="24"/>
                <w:highlight w:val="none"/>
              </w:rPr>
            </w:pPr>
            <w:r>
              <w:rPr>
                <w:rFonts w:hint="eastAsia" w:ascii="宋体" w:hAnsi="宋体"/>
                <w:color w:val="auto"/>
                <w:sz w:val="24"/>
                <w:szCs w:val="24"/>
                <w:highlight w:val="none"/>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7C98B6B">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FC6C7BC">
            <w:pPr>
              <w:spacing w:beforeLines="0" w:afterLines="0"/>
              <w:jc w:val="center"/>
              <w:rPr>
                <w:rFonts w:hint="eastAsia" w:ascii="宋体" w:hAnsi="宋体"/>
                <w:color w:val="auto"/>
                <w:sz w:val="24"/>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F26987B">
            <w:pPr>
              <w:spacing w:beforeLines="0" w:afterLines="0"/>
              <w:jc w:val="right"/>
              <w:rPr>
                <w:rFonts w:hint="eastAsia" w:ascii="宋体" w:hAnsi="宋体"/>
                <w:color w:val="auto"/>
                <w:sz w:val="22"/>
                <w:szCs w:val="24"/>
                <w:highlight w:val="none"/>
              </w:rPr>
            </w:pPr>
          </w:p>
        </w:tc>
      </w:tr>
      <w:tr w14:paraId="108CF5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74E473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27</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0084A84">
            <w:pPr>
              <w:spacing w:beforeLines="0" w:afterLines="0"/>
              <w:jc w:val="center"/>
              <w:rPr>
                <w:rFonts w:hint="eastAsia" w:ascii="宋体" w:hAnsi="宋体"/>
                <w:color w:val="auto"/>
                <w:sz w:val="20"/>
                <w:szCs w:val="24"/>
                <w:highlight w:val="none"/>
              </w:rPr>
            </w:pPr>
          </w:p>
        </w:tc>
        <w:tc>
          <w:tcPr>
            <w:tcW w:w="2322" w:type="dxa"/>
            <w:tcBorders>
              <w:top w:val="single" w:color="auto" w:sz="6" w:space="0"/>
              <w:left w:val="single" w:color="auto" w:sz="6" w:space="0"/>
              <w:bottom w:val="single" w:color="auto" w:sz="6" w:space="0"/>
              <w:right w:val="single" w:color="auto" w:sz="6" w:space="0"/>
              <w:tl2br w:val="nil"/>
              <w:tr2bl w:val="nil"/>
            </w:tcBorders>
            <w:noWrap w:val="0"/>
            <w:vAlign w:val="top"/>
          </w:tcPr>
          <w:p w14:paraId="3E4B0121">
            <w:pPr>
              <w:spacing w:beforeLines="0" w:afterLines="0"/>
              <w:jc w:val="center"/>
              <w:rPr>
                <w:rFonts w:hint="eastAsia" w:ascii="宋体" w:hAnsi="宋体"/>
                <w:color w:val="auto"/>
                <w:sz w:val="24"/>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73A58587">
            <w:pPr>
              <w:spacing w:beforeLines="0" w:afterLines="0"/>
              <w:jc w:val="center"/>
              <w:rPr>
                <w:rFonts w:hint="eastAsia" w:ascii="宋体" w:hAnsi="宋体"/>
                <w:color w:val="auto"/>
                <w:sz w:val="32"/>
                <w:szCs w:val="24"/>
                <w:highlight w:val="none"/>
              </w:rPr>
            </w:pPr>
            <w:r>
              <w:rPr>
                <w:rFonts w:hint="eastAsia" w:ascii="宋体" w:hAnsi="宋体"/>
                <w:color w:val="auto"/>
                <w:sz w:val="32"/>
                <w:szCs w:val="24"/>
                <w:highlight w:val="none"/>
              </w:rPr>
              <w:t>录播系统</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7DCBA7CE">
            <w:pPr>
              <w:spacing w:beforeLines="0" w:afterLines="0"/>
              <w:jc w:val="center"/>
              <w:rPr>
                <w:rFonts w:hint="eastAsia" w:ascii="宋体" w:hAnsi="宋体"/>
                <w:color w:val="auto"/>
                <w:sz w:val="20"/>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389053C">
            <w:pPr>
              <w:spacing w:beforeLines="0" w:afterLines="0"/>
              <w:jc w:val="center"/>
              <w:rPr>
                <w:rFonts w:hint="eastAsia" w:ascii="宋体" w:hAnsi="宋体"/>
                <w:color w:val="auto"/>
                <w:sz w:val="20"/>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36A4D1A6">
            <w:pPr>
              <w:spacing w:beforeLines="0" w:afterLines="0"/>
              <w:jc w:val="center"/>
              <w:rPr>
                <w:rFonts w:hint="eastAsia" w:ascii="宋体" w:hAnsi="宋体"/>
                <w:color w:val="auto"/>
                <w:sz w:val="20"/>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74282946">
            <w:pPr>
              <w:spacing w:beforeLines="0" w:afterLines="0"/>
              <w:jc w:val="center"/>
              <w:rPr>
                <w:rFonts w:hint="eastAsia" w:ascii="宋体" w:hAnsi="宋体"/>
                <w:color w:val="auto"/>
                <w:sz w:val="20"/>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C6E1E85">
            <w:pPr>
              <w:spacing w:beforeLines="0" w:afterLines="0"/>
              <w:jc w:val="right"/>
              <w:rPr>
                <w:rFonts w:hint="eastAsia" w:ascii="宋体" w:hAnsi="宋体"/>
                <w:color w:val="auto"/>
                <w:sz w:val="22"/>
                <w:szCs w:val="24"/>
                <w:highlight w:val="none"/>
              </w:rPr>
            </w:pPr>
          </w:p>
        </w:tc>
      </w:tr>
      <w:tr w14:paraId="25E2C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3D3D31E">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28</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764331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常态化录播互动一体机</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562B57F5">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476250" cy="533400"/>
                  <wp:effectExtent l="0" t="0" r="0" b="0"/>
                  <wp:docPr id="24" name="图片 1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13" descr="IMG_256"/>
                          <pic:cNvPicPr>
                            <a:picLocks noChangeAspect="1"/>
                          </pic:cNvPicPr>
                        </pic:nvPicPr>
                        <pic:blipFill>
                          <a:blip r:embed="rId13"/>
                          <a:stretch>
                            <a:fillRect/>
                          </a:stretch>
                        </pic:blipFill>
                        <pic:spPr>
                          <a:xfrm>
                            <a:off x="0" y="0"/>
                            <a:ext cx="476250" cy="533400"/>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07547FE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要求录播主机采用一体化嵌入式硬件设计架构，支持壁挂式安装；内置国产化八核处理器、Linux系统、≥8GB内存，≥1T硬盘。</w:t>
            </w:r>
          </w:p>
          <w:p w14:paraId="3662AAE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要求录播主机满足录制、直播、点播、互动、导播管理、存储、切换、视音频编码、语音转写、虚拟抠像、行为分析等功能，支持远程互动教学，实现远程互动网络课堂。 (投标时须提供具有CNAS标识的检测报告复印件及报告编号在全国认证认可信息公共服务平台的查询截图并加盖制造商公章)</w:t>
            </w:r>
          </w:p>
          <w:p w14:paraId="27FB80B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配置≥17英寸电容触控液晶屏，采用防指纹涂层工艺，无须外接显示设备，用户可直接通过主机查看已录制的视频，支持在主机上直接播放查看录制效果，并可使用U盘拷贝。(投标时须提供具有CNAS标识的检测报告复印件及报告编号在全国认证认可信息公共服务平台的查询截图并加盖制造商公章)</w:t>
            </w:r>
          </w:p>
          <w:p w14:paraId="338EC4D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具有多指智能手势识别息屏功能，操作者可在触摸屏任意位置，通过触摸实现对屏幕背光的关闭和开启。(投标时须提供具有CNAS标识的检测报告复印件及报告编号在全国认证认可信息公共服务平台的查询截图并加盖制造商公章)</w:t>
            </w:r>
          </w:p>
          <w:p w14:paraId="1878220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要求支持≥2路HDMI输入接口，支持≥3路HDMI输出接口，≥1路输出本地画面，≥1路输出合成画面，≥1路HDMI自定义输出视频源和分辨率。</w:t>
            </w:r>
          </w:p>
          <w:p w14:paraId="2F7C68E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要求支持≥1路线性输入，≥1路3.5mm音频输入，≥1路线性输出，≥1路3.5mm音频输出。</w:t>
            </w:r>
          </w:p>
          <w:p w14:paraId="2B26172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要求支持≥2路RS232控制接口。</w:t>
            </w:r>
          </w:p>
          <w:p w14:paraId="3FC430B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要求支持≥1路TYPE-C接口，具备≥3路USB3.0接口，支持连接鼠标、键盘进行导播控制以及主机连接U盘进行课程视频的录制、下载，支持外接光驱刻录光盘，拷贝本地视频至光驱刻录。</w:t>
            </w:r>
          </w:p>
          <w:p w14:paraId="2D6FE03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要求录播主机内置不低于2个5W的扬声器，用于播放本地视频声音。</w:t>
            </w:r>
          </w:p>
          <w:p w14:paraId="7174510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5路RJ45网口，其中至少4路为POE网口，集供电、控制、视频传输于一体。支持摄像机智能组网，摄像机即插即用。(投标时须提供具有CNAS标识的检测报告复印件及报告编号在全国认证认可信息公共服务平台的查询截图并加盖制造商公章)</w:t>
            </w:r>
          </w:p>
          <w:p w14:paraId="31A4F33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视频编码：要求支持H.265和H.264两种视频编码协议，实现更高效率和更好质量的编码技术，支持4K分辨率（3840*2160）视频的编码和录制。</w:t>
            </w:r>
          </w:p>
          <w:p w14:paraId="0E0A1D1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要求支持IPV4、IPV6链路地址、IPV6外网地址三个网络地址配置，支持启用DHCP自动获取IP地址。</w:t>
            </w:r>
          </w:p>
          <w:p w14:paraId="302BB12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为保证具有更好的散热效果，主机需内置散热风扇，可自定义主机风扇转速。</w:t>
            </w:r>
          </w:p>
          <w:p w14:paraId="3A9AD605">
            <w:pPr>
              <w:spacing w:beforeLines="0" w:afterLines="0"/>
              <w:jc w:val="left"/>
              <w:rPr>
                <w:rFonts w:hint="eastAsia" w:ascii="宋体" w:hAnsi="宋体"/>
                <w:color w:val="auto"/>
                <w:sz w:val="22"/>
                <w:szCs w:val="24"/>
                <w:highlight w:val="none"/>
              </w:rPr>
            </w:pP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19F7A7E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C5E6D46">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8B9C42C">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7CE028B">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A95541C">
            <w:pPr>
              <w:spacing w:beforeLines="0" w:afterLines="0"/>
              <w:jc w:val="right"/>
              <w:rPr>
                <w:rFonts w:hint="eastAsia" w:ascii="宋体" w:hAnsi="宋体"/>
                <w:color w:val="auto"/>
                <w:sz w:val="22"/>
                <w:szCs w:val="24"/>
                <w:highlight w:val="none"/>
              </w:rPr>
            </w:pPr>
          </w:p>
        </w:tc>
      </w:tr>
      <w:tr w14:paraId="70929E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E6D5638">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29</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DF8CF3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常态化录播系统</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8F4D910">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19150" cy="485775"/>
                  <wp:effectExtent l="0" t="0" r="0" b="9525"/>
                  <wp:docPr id="26" name="图片 1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4" descr="IMG_256"/>
                          <pic:cNvPicPr>
                            <a:picLocks noChangeAspect="1"/>
                          </pic:cNvPicPr>
                        </pic:nvPicPr>
                        <pic:blipFill>
                          <a:blip r:embed="rId14"/>
                          <a:stretch>
                            <a:fillRect/>
                          </a:stretch>
                        </pic:blipFill>
                        <pic:spPr>
                          <a:xfrm>
                            <a:off x="0" y="0"/>
                            <a:ext cx="819150" cy="485775"/>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56A545A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系统支持账号密码登录，支持电影模式、资源模式等录制模式，支持≥1路电影模式加≥6路资源备份，可同时录制合成画面、教师全景、教师特写、学生全景、学生特写、板书画面、电脑画面。</w:t>
            </w:r>
          </w:p>
          <w:p w14:paraId="26FB053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录制格式至少支持MP4/FLV/TS，录制分辨率支持3840*2160、1920*1080等，支持录制帧率设定，可选择25fps/30fps，码流支持1000-20000kbps之间手动设置。</w:t>
            </w:r>
          </w:p>
          <w:p w14:paraId="2CB38CE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支持实时显示录播主机CPU的使用率，硬盘使用情况，不少于6路预监画面，可自定义通道预监画面名称，可同步显示对应摄像机的电量，具有自动息屏功能，可选择息屏时间。</w:t>
            </w:r>
          </w:p>
          <w:p w14:paraId="303B38E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手指点控模式；导播模式支持视频预览、直播输出监视、视频切换等功能，其中手指拖动视频切换时支持导播小画面定位跟随。(投标时须提供具有CNAS标识的检测报告复印件及报告编号在全国认证认可信息公共服务平台的查询截图并加盖制造商公章)</w:t>
            </w:r>
          </w:p>
          <w:p w14:paraId="59AA0E0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支持添加字幕，支持包括系统时间在内的九种预设字幕的设置，其中系统时间支持自动校准。可直接通过拖拽实现自定义字幕显示位置。支持设置≥9种字体大小、≥8种字体颜色、≥8种字体背景颜色选择。</w:t>
            </w:r>
          </w:p>
          <w:p w14:paraId="1855176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系统界面自带虚拟软键盘，无需外接USB键盘，可输入中文、英文、数字、特殊符号。(投标时须提供具有CNAS标识的检测报告复印件及报告编号在全国认证认可信息公共服务平台的查询截图并加盖制造商公章)</w:t>
            </w:r>
          </w:p>
          <w:p w14:paraId="28C17C3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支持导播模式设置：至少包括手动、半自动、全自动模式，具有自动轮巡导播模式，可自定义轮巡画面和间隔时长。</w:t>
            </w:r>
          </w:p>
          <w:p w14:paraId="291B705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需支持会议导播模式，开启会议模式后，系统根据会议麦克风发言自动切换视频画面预置位。</w:t>
            </w:r>
          </w:p>
          <w:p w14:paraId="65C41F9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提供多种画面布局模式，支持视频画面叠加与组合，包括单画面、双分屏画面、三分屏画面、四分屏画面显示，可直接通过手指触控拖动通道画面实现多分屏布局显示画面的替换，替换时支持导播小画面定位跟随。(投标时须提供具有CNAS标识的检测报告复印件及报告编号在全国认证认可信息公共服务平台的查询截图并加盖制造商公章)</w:t>
            </w:r>
          </w:p>
          <w:p w14:paraId="5694B62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需支持自定义布局方式，支持多个视频图层自由叠加组合，自定义布局时可随意拖拉画面窗口，更改布局背景和边框颜色。</w:t>
            </w:r>
          </w:p>
          <w:p w14:paraId="09E5A68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支持≥4种片头和≥4种片尾的添加，可以设置插入片头片尾的时间，支持jpg、png格式。</w:t>
            </w:r>
          </w:p>
          <w:p w14:paraId="07889AE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台标支持≥4个固定位置，分别为左上、右上、左下、右下，支持手动拖拽移动台标，实现界面任意位置的台标设置。支持设定图片台标，支持jpg、png格式。</w:t>
            </w:r>
          </w:p>
          <w:p w14:paraId="5881301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支持上滑、下滑、左滑、右滑等多种切换特效，支持自定义选择≥8种特效切换速度。</w:t>
            </w:r>
          </w:p>
          <w:p w14:paraId="5B3393B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14</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系统支持摄像机云台控制，可以对摄像机进行变焦、上下左右位置调整以及≥8个预置位的设置，整个过程支持手指触控操作。</w:t>
            </w:r>
          </w:p>
          <w:p w14:paraId="2DA58D8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15.系统可以进行音量设置，可以采用手指拖动方式控制设备输入输出的音量大小。</w:t>
            </w:r>
          </w:p>
          <w:p w14:paraId="130EAC4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★16</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支持对屏幕亮度进行设置，采用手指拖动方式控制屏幕的亮度。(投标时须提供具有CNAS标识的检测报告复印件及报告编号在全国认证认可信息公共服务平台的查询截图并加盖制造商公章)</w:t>
            </w:r>
          </w:p>
          <w:p w14:paraId="4C82FD1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17</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系统需支持录制倒计时和循环记录功能，在硬盘存储空间为0时，仍可进行录制，将最早录制的视频文件删除，支持录制到U盘。</w:t>
            </w:r>
          </w:p>
          <w:p w14:paraId="63B0B8E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所录制的视频文件既可存储在本地硬盘，也支持通过FTP上传至平台，同时支持用户随时通过录播主机点播回放视频，并可使用移动磁盘或硬盘拷贝下载。</w:t>
            </w:r>
          </w:p>
          <w:p w14:paraId="09A040B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19</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需支持本地文件重命名，具有视频文件回收站功能，保存至少7天后自动删除。</w:t>
            </w:r>
          </w:p>
          <w:p w14:paraId="205E6FC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20</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需支持长视频分段录制的功能，可自定义视频文件分段时长，当录制课程时间较长时，可在不结束录制的条件下自动按分段时长将课程视频文件分割录制成多个视频文件，至少提供不限时长、45分钟、60分钟、90分钟、120分钟、150分钟、180分钟、240分钟等多种方式可选。</w:t>
            </w:r>
          </w:p>
          <w:p w14:paraId="6961BB6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21</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应具有推送公网直播功能并可在设备上自动生成直播二维码，扫描即可观看直播，系统可选择创建直播类型，至少包括活动直播和教研直播，支持自定义直播标题和起始时间，可设置直播分辨率和码率，调接直播画面音量大小，支持直播列表的查看，直播列表展示课程天数。</w:t>
            </w:r>
          </w:p>
          <w:p w14:paraId="5EA9447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22</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系统支持RTMP直播推流，推送的直播流可选择不同视频源，可选画面≥4个，可同时开启平台直播和三方推流直播。</w:t>
            </w:r>
          </w:p>
          <w:p w14:paraId="6D77296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★23</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内置微课制作功能，支持不少于前景、人像、背景3层场景叠加，叠加的场景支持PPT、视频、图片，虚拟抠像后的人像等类型。要求支持虚拟抠像后合成的画面实现和远端进行音视频互动。(投标时须提供具有CNAS标识的检测报告复印件及报告编号在全国认证认可信息公共服务平台的查询截图并加盖制造商公章)</w:t>
            </w:r>
          </w:p>
          <w:p w14:paraId="43F116A4">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至少支持智能抠像和键显色两种抠像模式；智能抠像可用于无幕布场景使用，键显色模式支持专业蓝/绿箱或幕布环境下抠像，用户可根据环境灵活选择。</w:t>
            </w:r>
          </w:p>
          <w:p w14:paraId="22C5578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手动调整前景、人像大小以及位置，抠像功能支持噪点清除、去黑边、溢色清除、前景强化、边缘平滑、饱和度压缩、黑色加强等细节调整，支持校色系数调节由绿幕软件造成的色差，从而达到更为理想的抠像效果</w:t>
            </w:r>
          </w:p>
          <w:p w14:paraId="6EE341D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需支持自定义抠像区域，支持在主画面（播出画面）使用手指圈出抠像区域的方式进行抠像区域的选择，选定后的抠像区域，可通过手指拖拽调整抠像区域位置和大小；</w:t>
            </w:r>
          </w:p>
          <w:p w14:paraId="1D89BD5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27</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系统应具有抠像画面合成功能，内置≥6种常用的画面布局样式，用户可根据需求自行设定≥4种画面布局样式；</w:t>
            </w:r>
          </w:p>
          <w:p w14:paraId="3BD6FEA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★28</w:t>
            </w:r>
            <w:r>
              <w:rPr>
                <w:rFonts w:hint="eastAsia" w:ascii="宋体" w:hAnsi="宋体"/>
                <w:color w:val="auto"/>
                <w:sz w:val="22"/>
                <w:szCs w:val="24"/>
                <w:highlight w:val="none"/>
                <w:lang w:eastAsia="zh-CN"/>
              </w:rPr>
              <w:t>、</w:t>
            </w:r>
            <w:r>
              <w:rPr>
                <w:rFonts w:hint="eastAsia" w:ascii="宋体" w:hAnsi="宋体"/>
                <w:color w:val="auto"/>
                <w:sz w:val="22"/>
                <w:szCs w:val="24"/>
                <w:highlight w:val="none"/>
              </w:rPr>
              <w:t>要求不依赖网络、外置设备即可实现行为分析、实时字幕的语音转写和热词提取。系统内置行为分析系统，至少支持对教室人数、举手、站立、背身、趴下、低头、扭头人数的实时统计，并实时汇总学生的参与度、活跃度和抬头率。(投标时须提供具有CNAS标识的检测报告复印件及报告编号在全国认证认可信息公共服务平台的查询截图并加盖制造商公章)</w:t>
            </w:r>
          </w:p>
          <w:p w14:paraId="58E816A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29</w:t>
            </w:r>
            <w:r>
              <w:rPr>
                <w:rFonts w:hint="eastAsia" w:ascii="宋体" w:hAnsi="宋体"/>
                <w:color w:val="auto"/>
                <w:sz w:val="22"/>
                <w:szCs w:val="24"/>
                <w:highlight w:val="none"/>
                <w:lang w:eastAsia="zh-CN"/>
              </w:rPr>
              <w:t>、</w:t>
            </w:r>
            <w:r>
              <w:rPr>
                <w:rFonts w:hint="eastAsia" w:ascii="宋体" w:hAnsi="宋体"/>
                <w:color w:val="auto"/>
                <w:sz w:val="22"/>
                <w:szCs w:val="24"/>
                <w:highlight w:val="none"/>
              </w:rPr>
              <w:t>行为分析可选择是否进行举手、趴桌、站立等行为数据展示，可选择学生全景相机位置，语音识别需支持区分角色，自动成生行为分析报告，报告可自动下载至本地文件夹中。</w:t>
            </w:r>
          </w:p>
          <w:p w14:paraId="306D8C9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30</w:t>
            </w:r>
            <w:r>
              <w:rPr>
                <w:rFonts w:hint="eastAsia" w:ascii="宋体" w:hAnsi="宋体"/>
                <w:color w:val="auto"/>
                <w:sz w:val="22"/>
                <w:szCs w:val="24"/>
                <w:highlight w:val="none"/>
                <w:lang w:eastAsia="zh-CN"/>
              </w:rPr>
              <w:t>、</w:t>
            </w:r>
            <w:r>
              <w:rPr>
                <w:rFonts w:hint="eastAsia" w:ascii="宋体" w:hAnsi="宋体"/>
                <w:color w:val="auto"/>
                <w:sz w:val="22"/>
                <w:szCs w:val="24"/>
                <w:highlight w:val="none"/>
              </w:rPr>
              <w:t>内置互动系统，需支持标准SIP和H.323互动协议，支持互动列表，列表中可以显示所有与会者的信息；支持互动画面布局的显示，布局支持单分屏，双分屏，三分屏，四分屏显示。互动界面支持双流、一键静音、全屏、导播设置等功能。</w:t>
            </w:r>
          </w:p>
          <w:p w14:paraId="5DAABF1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31</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进入互动系统时可支持查看永久课历史记录，可输入房间号快速加入远程互动，并显示对应的课程信息，包括时长、主讲人、房间名称、房间号、丢包率、网络延时等。</w:t>
            </w:r>
          </w:p>
          <w:p w14:paraId="6269C7F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创建房间时支持对主题、主讲人、开始日期、开始时间和结束时间、验证方式的设置，其中验证方式支持公开和加密的选择。</w:t>
            </w:r>
          </w:p>
          <w:p w14:paraId="06FFBD4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33</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需支持对每个互动房间自动分配短号，可以通过短号直接实现多个设备间的互动，支持房间加密。</w:t>
            </w:r>
          </w:p>
          <w:p w14:paraId="0140ECB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授课预监：授课过程中，录播主机屏幕将实时显示授课教室和参与互动的听课教室画面，用户可实时查看授课教室的拍摄效果，及互动教室的听课状态。</w:t>
            </w:r>
          </w:p>
          <w:p w14:paraId="42F608C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需支持对录播机进行网络检测，可实时检测服务器连通性、网络稳定性、上行下行速度、网络追踪性、网卡信息、信道状态。(投标时须提供具有CNAS标识的检测报告复印件及报告编号在全国认证认可信息公共服务平台的查询截图并加盖制造商公章)</w:t>
            </w:r>
          </w:p>
          <w:p w14:paraId="78B5FB1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36</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系统至少支持查看软件版本，设备型号，硬件版本，设备编号，需支持中英文版本切换，支持本地硬盘格式化，系统可选择在线更新或本地更新，导出调试日志，具有一键恢复出厂设置。</w:t>
            </w:r>
          </w:p>
          <w:p w14:paraId="122172DD">
            <w:pPr>
              <w:spacing w:beforeLines="0" w:afterLines="0"/>
              <w:jc w:val="left"/>
              <w:rPr>
                <w:rFonts w:hint="eastAsia" w:ascii="宋体" w:hAnsi="宋体"/>
                <w:color w:val="auto"/>
                <w:sz w:val="22"/>
                <w:szCs w:val="24"/>
                <w:highlight w:val="none"/>
              </w:rPr>
            </w:pP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14F131D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77C1C99">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56BEFE">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4623993D">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3FE4E03">
            <w:pPr>
              <w:spacing w:beforeLines="0" w:afterLines="0"/>
              <w:jc w:val="right"/>
              <w:rPr>
                <w:rFonts w:hint="eastAsia" w:ascii="宋体" w:hAnsi="宋体"/>
                <w:color w:val="auto"/>
                <w:sz w:val="22"/>
                <w:szCs w:val="24"/>
                <w:highlight w:val="none"/>
              </w:rPr>
            </w:pPr>
          </w:p>
        </w:tc>
      </w:tr>
      <w:tr w14:paraId="164B8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A81478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30</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FDFF2D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教师双目摄像机</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2B1B9A0F">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38200" cy="409575"/>
                  <wp:effectExtent l="0" t="0" r="0" b="0"/>
                  <wp:docPr id="28" name="图片 1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5" descr="IMG_256"/>
                          <pic:cNvPicPr>
                            <a:picLocks noChangeAspect="1"/>
                          </pic:cNvPicPr>
                        </pic:nvPicPr>
                        <pic:blipFill>
                          <a:blip r:embed="rId15"/>
                          <a:stretch>
                            <a:fillRect/>
                          </a:stretch>
                        </pic:blipFill>
                        <pic:spPr>
                          <a:xfrm>
                            <a:off x="0" y="0"/>
                            <a:ext cx="838200" cy="409575"/>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4479907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采用全景/特写双镜头设计，传感器：1/2.7英寸CMOS，特写镜头800万像素，全景镜头400万像素。</w:t>
            </w:r>
          </w:p>
          <w:p w14:paraId="715BF1F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教师特写镜头水平视场角26°。全景镜头水平视场角43°。</w:t>
            </w:r>
          </w:p>
          <w:p w14:paraId="02E2546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支持4K(3840×2160）分辨率，兼容1080P、720P等分辨率。</w:t>
            </w:r>
          </w:p>
          <w:p w14:paraId="6D4BB25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视频编码标准： 支持H.264/MJPEG，帧率支持1~30fps，视频码率设置范围：32Kbps ~ 16384Kbps。</w:t>
            </w:r>
          </w:p>
          <w:p w14:paraId="0660246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视频制式：支持50Hz/60Hz，编码等级可设置base line/main profile/high profile。</w:t>
            </w:r>
          </w:p>
          <w:p w14:paraId="419A44C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音频编码标准：支持 AAC、G711A编码格式，音频采样率48KHz，音频码率：支持96Kbps、128Kbps、256Kbps。</w:t>
            </w:r>
          </w:p>
          <w:p w14:paraId="32FADD4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支持水平翻转、垂直翻转；支持多种白平衡方式，支持自动，室内，室外，一键式，手动；支持背光补偿、图像冻结。</w:t>
            </w:r>
          </w:p>
          <w:p w14:paraId="5137986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摄像机接口：支持1路SDI，1路RJ45 （10M/100M自适应），1路Type-C，1路Line in 3.5mm音频接口；1路Line out 3.5mm音频接口。</w:t>
            </w:r>
          </w:p>
          <w:p w14:paraId="72FAA43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P0C和POE两种一线通功能，电源、视频、音频、控制四线合一。</w:t>
            </w:r>
          </w:p>
          <w:p w14:paraId="6AFE7D4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支持USB音视频输出，同时支持UVC和UAC协议，最大支持4K@30fps输出，兼容主流视频会议软件。</w:t>
            </w:r>
          </w:p>
          <w:p w14:paraId="19CE05FD">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内置图像识别跟踪算法，微型机械云台设计，全景特写双镜头采用同系列图像传感器和图像处理器，确保两者图像输出亮度、颜色、风格等保持一致。</w:t>
            </w:r>
          </w:p>
          <w:p w14:paraId="32AFB38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人脸检测：支持对监视画面中出现的人脸进行检测，在监视或录像状态下，监视画面无明显缺损，物体移动时画面边缘无明显锯齿、拉毛现象。</w:t>
            </w:r>
          </w:p>
          <w:p w14:paraId="42BD954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系统具备图像识别功能，支持同时输出2路场景画面，支持所有画面的自动导播切换。</w:t>
            </w:r>
          </w:p>
          <w:p w14:paraId="176F2B7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支持通过浏览器进行管理，包括亮度、饱和度、对比度、锐度、色度设置。</w:t>
            </w:r>
          </w:p>
          <w:p w14:paraId="06A24CF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15配合录播主机支持人物动作分析，识别举手、站立、背身、趴下、低头、扭头等人物动作分析。</w:t>
            </w:r>
          </w:p>
          <w:p w14:paraId="12E970E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16</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DC12V、POE、POC三种供电方式。</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215E7C9A">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DAA618C">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AD143B6">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4375C2FD">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DED6AB1">
            <w:pPr>
              <w:spacing w:beforeLines="0" w:afterLines="0"/>
              <w:jc w:val="right"/>
              <w:rPr>
                <w:rFonts w:hint="eastAsia" w:ascii="宋体" w:hAnsi="宋体"/>
                <w:color w:val="auto"/>
                <w:sz w:val="22"/>
                <w:szCs w:val="24"/>
                <w:highlight w:val="none"/>
              </w:rPr>
            </w:pPr>
          </w:p>
        </w:tc>
      </w:tr>
      <w:tr w14:paraId="1274C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4AD12FF">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A6219A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学生双目摄像机</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3138C5CE">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828675" cy="428625"/>
                  <wp:effectExtent l="0" t="0" r="9525" b="8890"/>
                  <wp:docPr id="30"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6" descr="IMG_256"/>
                          <pic:cNvPicPr>
                            <a:picLocks noChangeAspect="1"/>
                          </pic:cNvPicPr>
                        </pic:nvPicPr>
                        <pic:blipFill>
                          <a:blip r:embed="rId16"/>
                          <a:stretch>
                            <a:fillRect/>
                          </a:stretch>
                        </pic:blipFill>
                        <pic:spPr>
                          <a:xfrm>
                            <a:off x="0" y="0"/>
                            <a:ext cx="828675" cy="428625"/>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40718A3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采用全景/特写双镜头设计，传感器：1/2.7英寸CMOS，特写镜头800万像素，全景镜头400万像素。</w:t>
            </w:r>
          </w:p>
          <w:p w14:paraId="3D5B9603">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学生特写镜头水平视场角43°。全景镜头水平视场角110°。</w:t>
            </w:r>
          </w:p>
          <w:p w14:paraId="7D44420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支持4K(3840×2160）分辨率，兼容1080P、720P等分辨率。</w:t>
            </w:r>
          </w:p>
          <w:p w14:paraId="3B84FDB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视频编码标准： 支持H.264/MJPEG，帧率支持1~30fps，视频码率设置范围：32Kbps ~ 16384Kbps。</w:t>
            </w:r>
          </w:p>
          <w:p w14:paraId="69E79F7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视频制式：支持50Hz/60Hz，编码等级可设置base line/main profile/high profile。</w:t>
            </w:r>
          </w:p>
          <w:p w14:paraId="282B573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音频编码标准：支持 AAC、G711A编码格式，音频采样率48KHz，音频码率：支持96Kbps、128Kbps、256Kbps。</w:t>
            </w:r>
          </w:p>
          <w:p w14:paraId="7D90807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支持水平翻转、垂直翻转；支持多种白平衡方式，支持自动，室内，室外，一键式，手动；支持背光补偿、图像冻结。</w:t>
            </w:r>
          </w:p>
          <w:p w14:paraId="699F222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摄像机接口：支持1路SDI，1路RJ45 （10M/100M自适应），1路Type-C，1路Line in 3.5mm音频接口；1路Line out 3.5mm音频接口。</w:t>
            </w:r>
          </w:p>
          <w:p w14:paraId="2A09567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P0C和POE两种一线通功能，电源、视频、音频、控制四线合一。</w:t>
            </w:r>
          </w:p>
          <w:p w14:paraId="63B6774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支持USB音视频输出，同时支持UVC和UAC协议，最大支持4K@30fps输出，兼容主流视频会议软件。</w:t>
            </w:r>
          </w:p>
          <w:p w14:paraId="6947EB8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11</w:t>
            </w:r>
            <w:r>
              <w:rPr>
                <w:rFonts w:hint="eastAsia" w:ascii="宋体" w:hAnsi="宋体"/>
                <w:color w:val="auto"/>
                <w:sz w:val="22"/>
                <w:szCs w:val="24"/>
                <w:highlight w:val="none"/>
                <w:lang w:eastAsia="zh-CN"/>
              </w:rPr>
              <w:t>、</w:t>
            </w:r>
            <w:r>
              <w:rPr>
                <w:rFonts w:hint="eastAsia" w:ascii="宋体" w:hAnsi="宋体"/>
                <w:color w:val="auto"/>
                <w:sz w:val="22"/>
                <w:szCs w:val="24"/>
                <w:highlight w:val="none"/>
              </w:rPr>
              <w:t>内置图像识别跟踪算法，微型机械云台设计，全景特写双镜头采用同系列图像传感器和图像处理器，确保两者图像输出亮度、颜色、风格等保持一致。</w:t>
            </w:r>
          </w:p>
          <w:p w14:paraId="75B552D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12</w:t>
            </w:r>
            <w:r>
              <w:rPr>
                <w:rFonts w:hint="eastAsia" w:ascii="宋体" w:hAnsi="宋体"/>
                <w:color w:val="auto"/>
                <w:sz w:val="22"/>
                <w:szCs w:val="24"/>
                <w:highlight w:val="none"/>
                <w:lang w:eastAsia="zh-CN"/>
              </w:rPr>
              <w:t>、</w:t>
            </w:r>
            <w:r>
              <w:rPr>
                <w:rFonts w:hint="eastAsia" w:ascii="宋体" w:hAnsi="宋体"/>
                <w:color w:val="auto"/>
                <w:sz w:val="22"/>
                <w:szCs w:val="24"/>
                <w:highlight w:val="none"/>
              </w:rPr>
              <w:t>人脸检测：支持对监视画面中出现的人脸进行检测，在监视或录像状态下，监视画面无明显缺损，物体移动时画面边缘无明显锯齿、拉毛现象。</w:t>
            </w:r>
          </w:p>
          <w:p w14:paraId="5B0E813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13</w:t>
            </w:r>
            <w:r>
              <w:rPr>
                <w:rFonts w:hint="eastAsia" w:ascii="宋体" w:hAnsi="宋体"/>
                <w:color w:val="auto"/>
                <w:sz w:val="22"/>
                <w:szCs w:val="24"/>
                <w:highlight w:val="none"/>
                <w:lang w:eastAsia="zh-CN"/>
              </w:rPr>
              <w:t>、</w:t>
            </w:r>
            <w:r>
              <w:rPr>
                <w:rFonts w:hint="eastAsia" w:ascii="宋体" w:hAnsi="宋体"/>
                <w:color w:val="auto"/>
                <w:sz w:val="22"/>
                <w:szCs w:val="24"/>
                <w:highlight w:val="none"/>
              </w:rPr>
              <w:t>系统具备图像识别功能，支持同时输出2路场景画面，支持所有画面的自动导播切换。</w:t>
            </w:r>
          </w:p>
          <w:p w14:paraId="475A62D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14</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支持通过浏览器进行管理，包括亮度、饱和度、对比度、锐度、色度设置。</w:t>
            </w:r>
          </w:p>
          <w:p w14:paraId="7E10C5C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15配合录播主机支持人物动作分析，识别举手、站立、背身、趴下、低头、扭头等人物动作分析。</w:t>
            </w:r>
          </w:p>
          <w:p w14:paraId="0A15C37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16</w:t>
            </w:r>
            <w:r>
              <w:rPr>
                <w:rFonts w:hint="eastAsia" w:ascii="宋体" w:hAnsi="宋体"/>
                <w:color w:val="auto"/>
                <w:sz w:val="22"/>
                <w:szCs w:val="24"/>
                <w:highlight w:val="none"/>
                <w:lang w:eastAsia="zh-CN"/>
              </w:rPr>
              <w:t>、</w:t>
            </w:r>
            <w:r>
              <w:rPr>
                <w:rFonts w:hint="eastAsia" w:ascii="宋体" w:hAnsi="宋体"/>
                <w:color w:val="auto"/>
                <w:sz w:val="22"/>
                <w:szCs w:val="24"/>
                <w:highlight w:val="none"/>
              </w:rPr>
              <w:t>支持 DC12V、POE、POC三种供电方式。</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365D217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A73C22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2A758E3">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111B5E89">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7B06766">
            <w:pPr>
              <w:spacing w:beforeLines="0" w:afterLines="0"/>
              <w:jc w:val="right"/>
              <w:rPr>
                <w:rFonts w:hint="eastAsia" w:ascii="宋体" w:hAnsi="宋体"/>
                <w:color w:val="auto"/>
                <w:sz w:val="22"/>
                <w:szCs w:val="24"/>
                <w:highlight w:val="none"/>
              </w:rPr>
            </w:pPr>
          </w:p>
        </w:tc>
      </w:tr>
      <w:tr w14:paraId="336948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761B84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DB4B65">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指向拾音话筒</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7C387204">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590550" cy="514350"/>
                  <wp:effectExtent l="0" t="0" r="0" b="0"/>
                  <wp:docPr id="32" name="图片 1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7" descr="IMG_256"/>
                          <pic:cNvPicPr>
                            <a:picLocks noChangeAspect="1"/>
                          </pic:cNvPicPr>
                        </pic:nvPicPr>
                        <pic:blipFill>
                          <a:blip r:embed="rId17"/>
                          <a:stretch>
                            <a:fillRect/>
                          </a:stretch>
                        </pic:blipFill>
                        <pic:spPr>
                          <a:xfrm>
                            <a:off x="0" y="0"/>
                            <a:ext cx="590550" cy="514350"/>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2258919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类型：电容式麦克风</w:t>
            </w:r>
          </w:p>
          <w:p w14:paraId="4FB4187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指向性：心型指向性</w:t>
            </w:r>
          </w:p>
          <w:p w14:paraId="3BED30F6">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频率响应：20Hz~20KHz</w:t>
            </w:r>
          </w:p>
          <w:p w14:paraId="2F7D1F2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4</w:t>
            </w:r>
            <w:r>
              <w:rPr>
                <w:rFonts w:hint="eastAsia" w:ascii="宋体" w:hAnsi="宋体"/>
                <w:color w:val="auto"/>
                <w:sz w:val="22"/>
                <w:szCs w:val="24"/>
                <w:highlight w:val="none"/>
                <w:lang w:eastAsia="zh-CN"/>
              </w:rPr>
              <w:t>、</w:t>
            </w:r>
            <w:r>
              <w:rPr>
                <w:rFonts w:hint="eastAsia" w:ascii="宋体" w:hAnsi="宋体"/>
                <w:color w:val="auto"/>
                <w:sz w:val="22"/>
                <w:szCs w:val="24"/>
                <w:highlight w:val="none"/>
              </w:rPr>
              <w:t>灵敏度：12mV/Pa</w:t>
            </w:r>
          </w:p>
          <w:p w14:paraId="2157918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5</w:t>
            </w:r>
            <w:r>
              <w:rPr>
                <w:rFonts w:hint="eastAsia" w:ascii="宋体" w:hAnsi="宋体"/>
                <w:color w:val="auto"/>
                <w:sz w:val="22"/>
                <w:szCs w:val="24"/>
                <w:highlight w:val="none"/>
                <w:lang w:eastAsia="zh-CN"/>
              </w:rPr>
              <w:t>、</w:t>
            </w:r>
            <w:r>
              <w:rPr>
                <w:rFonts w:hint="eastAsia" w:ascii="宋体" w:hAnsi="宋体"/>
                <w:color w:val="auto"/>
                <w:sz w:val="22"/>
                <w:szCs w:val="24"/>
                <w:highlight w:val="none"/>
              </w:rPr>
              <w:t>阻抗：150Ω</w:t>
            </w:r>
          </w:p>
          <w:p w14:paraId="60D183E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6</w:t>
            </w:r>
            <w:r>
              <w:rPr>
                <w:rFonts w:hint="eastAsia" w:ascii="宋体" w:hAnsi="宋体"/>
                <w:color w:val="auto"/>
                <w:sz w:val="22"/>
                <w:szCs w:val="24"/>
                <w:highlight w:val="none"/>
                <w:lang w:eastAsia="zh-CN"/>
              </w:rPr>
              <w:t>、</w:t>
            </w:r>
            <w:r>
              <w:rPr>
                <w:rFonts w:hint="eastAsia" w:ascii="宋体" w:hAnsi="宋体"/>
                <w:color w:val="auto"/>
                <w:sz w:val="22"/>
                <w:szCs w:val="24"/>
                <w:highlight w:val="none"/>
              </w:rPr>
              <w:t>负载阻抗：1kΩ</w:t>
            </w:r>
          </w:p>
          <w:p w14:paraId="11ADA782">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7</w:t>
            </w:r>
            <w:r>
              <w:rPr>
                <w:rFonts w:hint="eastAsia" w:ascii="宋体" w:hAnsi="宋体"/>
                <w:color w:val="auto"/>
                <w:sz w:val="22"/>
                <w:szCs w:val="24"/>
                <w:highlight w:val="none"/>
                <w:lang w:eastAsia="zh-CN"/>
              </w:rPr>
              <w:t>、</w:t>
            </w:r>
            <w:r>
              <w:rPr>
                <w:rFonts w:hint="eastAsia" w:ascii="宋体" w:hAnsi="宋体"/>
                <w:color w:val="auto"/>
                <w:sz w:val="22"/>
                <w:szCs w:val="24"/>
                <w:highlight w:val="none"/>
              </w:rPr>
              <w:t>信噪比：65dB,1kHz at 1Pa</w:t>
            </w:r>
          </w:p>
          <w:p w14:paraId="3D27436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8</w:t>
            </w:r>
            <w:r>
              <w:rPr>
                <w:rFonts w:hint="eastAsia" w:ascii="宋体" w:hAnsi="宋体"/>
                <w:color w:val="auto"/>
                <w:sz w:val="22"/>
                <w:szCs w:val="24"/>
                <w:highlight w:val="none"/>
                <w:lang w:eastAsia="zh-CN"/>
              </w:rPr>
              <w:t>、</w:t>
            </w:r>
            <w:r>
              <w:rPr>
                <w:rFonts w:hint="eastAsia" w:ascii="宋体" w:hAnsi="宋体"/>
                <w:color w:val="auto"/>
                <w:sz w:val="22"/>
                <w:szCs w:val="24"/>
                <w:highlight w:val="none"/>
              </w:rPr>
              <w:t>最大耐声压级（THD&lt;0.5%）：110dB SPL</w:t>
            </w:r>
          </w:p>
          <w:p w14:paraId="7C063A91">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9</w:t>
            </w:r>
            <w:r>
              <w:rPr>
                <w:rFonts w:hint="eastAsia" w:ascii="宋体" w:hAnsi="宋体"/>
                <w:color w:val="auto"/>
                <w:sz w:val="22"/>
                <w:szCs w:val="24"/>
                <w:highlight w:val="none"/>
                <w:lang w:eastAsia="zh-CN"/>
              </w:rPr>
              <w:t>、</w:t>
            </w:r>
            <w:r>
              <w:rPr>
                <w:rFonts w:hint="eastAsia" w:ascii="宋体" w:hAnsi="宋体"/>
                <w:color w:val="auto"/>
                <w:sz w:val="22"/>
                <w:szCs w:val="24"/>
                <w:highlight w:val="none"/>
              </w:rPr>
              <w:t>电流耗量：3mA</w:t>
            </w:r>
          </w:p>
          <w:p w14:paraId="44F3F8EF">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10</w:t>
            </w:r>
            <w:r>
              <w:rPr>
                <w:rFonts w:hint="eastAsia" w:ascii="宋体" w:hAnsi="宋体"/>
                <w:color w:val="auto"/>
                <w:sz w:val="22"/>
                <w:szCs w:val="24"/>
                <w:highlight w:val="none"/>
                <w:lang w:eastAsia="zh-CN"/>
              </w:rPr>
              <w:t>、</w:t>
            </w:r>
            <w:r>
              <w:rPr>
                <w:rFonts w:hint="eastAsia" w:ascii="宋体" w:hAnsi="宋体"/>
                <w:color w:val="auto"/>
                <w:sz w:val="22"/>
                <w:szCs w:val="24"/>
                <w:highlight w:val="none"/>
              </w:rPr>
              <w:t>连接方式：Type XLR-3</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3B0E640F">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2</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FC3CAE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支</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D6F184A">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0328CBF3">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21E67A9">
            <w:pPr>
              <w:spacing w:beforeLines="0" w:afterLines="0"/>
              <w:jc w:val="right"/>
              <w:rPr>
                <w:rFonts w:hint="eastAsia" w:ascii="宋体" w:hAnsi="宋体"/>
                <w:color w:val="auto"/>
                <w:sz w:val="22"/>
                <w:szCs w:val="24"/>
                <w:highlight w:val="none"/>
              </w:rPr>
            </w:pPr>
          </w:p>
        </w:tc>
      </w:tr>
      <w:tr w14:paraId="6A91C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67366644">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33</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D417B5C">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交换机</w:t>
            </w:r>
          </w:p>
        </w:tc>
        <w:tc>
          <w:tcPr>
            <w:tcW w:w="2322" w:type="dxa"/>
            <w:tcBorders>
              <w:top w:val="single" w:color="auto" w:sz="6" w:space="0"/>
              <w:left w:val="single" w:color="auto" w:sz="6" w:space="0"/>
              <w:bottom w:val="single" w:color="auto" w:sz="6" w:space="0"/>
              <w:right w:val="single" w:color="auto" w:sz="6" w:space="0"/>
              <w:tl2br w:val="nil"/>
              <w:tr2bl w:val="nil"/>
            </w:tcBorders>
            <w:shd w:val="clear" w:color="auto" w:fill="auto"/>
            <w:noWrap w:val="0"/>
            <w:vAlign w:val="center"/>
          </w:tcPr>
          <w:p w14:paraId="0C76BB4B">
            <w:pPr>
              <w:keepNext w:val="0"/>
              <w:keepLines w:val="0"/>
              <w:widowControl/>
              <w:suppressLineNumbers w:val="0"/>
              <w:jc w:val="left"/>
              <w:textAlignment w:val="center"/>
              <w:rPr>
                <w:rFonts w:hint="eastAsia" w:ascii="宋体" w:hAnsi="宋体" w:eastAsia="宋体" w:cs="宋体"/>
                <w:i w:val="0"/>
                <w:iCs w:val="0"/>
                <w:color w:val="auto"/>
                <w:kern w:val="2"/>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drawing>
                <wp:inline distT="0" distB="0" distL="114300" distR="114300">
                  <wp:extent cx="1085850" cy="238125"/>
                  <wp:effectExtent l="0" t="0" r="0" b="6350"/>
                  <wp:docPr id="34" name="图片 1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8" descr="IMG_256"/>
                          <pic:cNvPicPr>
                            <a:picLocks noChangeAspect="1"/>
                          </pic:cNvPicPr>
                        </pic:nvPicPr>
                        <pic:blipFill>
                          <a:blip r:embed="rId18"/>
                          <a:stretch>
                            <a:fillRect/>
                          </a:stretch>
                        </pic:blipFill>
                        <pic:spPr>
                          <a:xfrm>
                            <a:off x="0" y="0"/>
                            <a:ext cx="1085850" cy="238125"/>
                          </a:xfrm>
                          <a:prstGeom prst="rect">
                            <a:avLst/>
                          </a:prstGeom>
                          <a:noFill/>
                          <a:ln w="9525">
                            <a:noFill/>
                          </a:ln>
                        </pic:spPr>
                      </pic:pic>
                    </a:graphicData>
                  </a:graphic>
                </wp:inline>
              </w:drawing>
            </w: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21BD2609">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r>
              <w:rPr>
                <w:rFonts w:hint="eastAsia" w:ascii="宋体" w:hAnsi="宋体"/>
                <w:color w:val="auto"/>
                <w:sz w:val="22"/>
                <w:szCs w:val="24"/>
                <w:highlight w:val="none"/>
                <w:lang w:eastAsia="zh-CN"/>
              </w:rPr>
              <w:t>、</w:t>
            </w:r>
            <w:r>
              <w:rPr>
                <w:rFonts w:hint="eastAsia" w:ascii="宋体" w:hAnsi="宋体"/>
                <w:color w:val="auto"/>
                <w:sz w:val="22"/>
                <w:szCs w:val="24"/>
                <w:highlight w:val="none"/>
              </w:rPr>
              <w:t>接口：24口千兆+2千兆光口。</w:t>
            </w:r>
          </w:p>
          <w:p w14:paraId="7399660A">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2</w:t>
            </w:r>
            <w:r>
              <w:rPr>
                <w:rFonts w:hint="eastAsia" w:ascii="宋体" w:hAnsi="宋体"/>
                <w:color w:val="auto"/>
                <w:sz w:val="22"/>
                <w:szCs w:val="24"/>
                <w:highlight w:val="none"/>
                <w:lang w:eastAsia="zh-CN"/>
              </w:rPr>
              <w:t>、</w:t>
            </w:r>
            <w:r>
              <w:rPr>
                <w:rFonts w:hint="eastAsia" w:ascii="宋体" w:hAnsi="宋体"/>
                <w:color w:val="auto"/>
                <w:sz w:val="22"/>
                <w:szCs w:val="24"/>
                <w:highlight w:val="none"/>
              </w:rPr>
              <w:t>可靠性：企业级防雷电路，内置专业高耐压电源。</w:t>
            </w:r>
          </w:p>
          <w:p w14:paraId="79157F10">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3</w:t>
            </w:r>
            <w:r>
              <w:rPr>
                <w:rFonts w:hint="eastAsia" w:ascii="宋体" w:hAnsi="宋体"/>
                <w:color w:val="auto"/>
                <w:sz w:val="22"/>
                <w:szCs w:val="24"/>
                <w:highlight w:val="none"/>
                <w:lang w:eastAsia="zh-CN"/>
              </w:rPr>
              <w:t>、</w:t>
            </w:r>
            <w:r>
              <w:rPr>
                <w:rFonts w:hint="eastAsia" w:ascii="宋体" w:hAnsi="宋体"/>
                <w:color w:val="auto"/>
                <w:sz w:val="22"/>
                <w:szCs w:val="24"/>
                <w:highlight w:val="none"/>
              </w:rPr>
              <w:t>供电：支持POE+供电370W，单端口＞30W.</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64FF5CB3">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39B2A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台</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02E7D30">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71AAFFF0">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E188B7E">
            <w:pPr>
              <w:spacing w:beforeLines="0" w:afterLines="0"/>
              <w:jc w:val="right"/>
              <w:rPr>
                <w:rFonts w:hint="eastAsia" w:ascii="宋体" w:hAnsi="宋体"/>
                <w:color w:val="auto"/>
                <w:sz w:val="22"/>
                <w:szCs w:val="24"/>
                <w:highlight w:val="none"/>
              </w:rPr>
            </w:pPr>
          </w:p>
        </w:tc>
      </w:tr>
      <w:tr w14:paraId="0DA260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9455611">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34</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AEECDD8">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系统集成</w:t>
            </w:r>
          </w:p>
        </w:tc>
        <w:tc>
          <w:tcPr>
            <w:tcW w:w="2322" w:type="dxa"/>
            <w:tcBorders>
              <w:top w:val="single" w:color="auto" w:sz="6" w:space="0"/>
              <w:left w:val="single" w:color="auto" w:sz="6" w:space="0"/>
              <w:bottom w:val="single" w:color="auto" w:sz="6" w:space="0"/>
              <w:right w:val="single" w:color="auto" w:sz="6" w:space="0"/>
              <w:tl2br w:val="nil"/>
              <w:tr2bl w:val="nil"/>
            </w:tcBorders>
            <w:noWrap w:val="0"/>
            <w:vAlign w:val="top"/>
          </w:tcPr>
          <w:p w14:paraId="7A9CECD2">
            <w:pPr>
              <w:spacing w:beforeLines="0" w:afterLines="0"/>
              <w:jc w:val="right"/>
              <w:rPr>
                <w:rFonts w:hint="eastAsia" w:ascii="宋体" w:hAnsi="宋体"/>
                <w:color w:val="auto"/>
                <w:sz w:val="22"/>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25F05283">
            <w:pPr>
              <w:spacing w:beforeLines="0" w:afterLines="0"/>
              <w:jc w:val="left"/>
              <w:rPr>
                <w:rFonts w:hint="eastAsia" w:ascii="宋体" w:hAnsi="宋体" w:eastAsia="宋体"/>
                <w:color w:val="auto"/>
                <w:sz w:val="22"/>
                <w:szCs w:val="24"/>
                <w:highlight w:val="none"/>
                <w:lang w:eastAsia="zh-CN"/>
              </w:rPr>
            </w:pPr>
            <w:r>
              <w:rPr>
                <w:rFonts w:hint="eastAsia" w:ascii="宋体" w:hAnsi="宋体"/>
                <w:color w:val="auto"/>
                <w:sz w:val="22"/>
                <w:szCs w:val="24"/>
                <w:highlight w:val="none"/>
                <w:lang w:val="en-US" w:eastAsia="zh-CN"/>
              </w:rPr>
              <w:t>1、</w:t>
            </w:r>
            <w:r>
              <w:rPr>
                <w:rFonts w:hint="eastAsia" w:ascii="宋体" w:hAnsi="宋体"/>
                <w:color w:val="auto"/>
                <w:sz w:val="22"/>
                <w:szCs w:val="24"/>
                <w:highlight w:val="none"/>
              </w:rPr>
              <w:t>包含设备的安装、调试、测试及所有线缆辅材、插线板、分配器等</w:t>
            </w:r>
            <w:r>
              <w:rPr>
                <w:rFonts w:hint="eastAsia" w:ascii="宋体" w:hAnsi="宋体"/>
                <w:color w:val="auto"/>
                <w:sz w:val="22"/>
                <w:szCs w:val="24"/>
                <w:highlight w:val="none"/>
                <w:lang w:eastAsia="zh-CN"/>
              </w:rPr>
              <w:t>。</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63133977">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F975EEE">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套</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574666A">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74E1BA1A">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658FBA3">
            <w:pPr>
              <w:spacing w:beforeLines="0" w:afterLines="0"/>
              <w:jc w:val="right"/>
              <w:rPr>
                <w:rFonts w:hint="eastAsia" w:ascii="宋体" w:hAnsi="宋体"/>
                <w:color w:val="auto"/>
                <w:sz w:val="22"/>
                <w:szCs w:val="24"/>
                <w:highlight w:val="none"/>
              </w:rPr>
            </w:pPr>
          </w:p>
        </w:tc>
      </w:tr>
      <w:tr w14:paraId="28D8E3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529A572B">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35</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36B850E">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环境营造</w:t>
            </w:r>
          </w:p>
        </w:tc>
        <w:tc>
          <w:tcPr>
            <w:tcW w:w="2322" w:type="dxa"/>
            <w:tcBorders>
              <w:top w:val="single" w:color="auto" w:sz="6" w:space="0"/>
              <w:left w:val="single" w:color="auto" w:sz="6" w:space="0"/>
              <w:bottom w:val="single" w:color="auto" w:sz="6" w:space="0"/>
              <w:right w:val="single" w:color="auto" w:sz="6" w:space="0"/>
              <w:tl2br w:val="nil"/>
              <w:tr2bl w:val="nil"/>
            </w:tcBorders>
            <w:noWrap w:val="0"/>
            <w:vAlign w:val="top"/>
          </w:tcPr>
          <w:p w14:paraId="3C36738D">
            <w:pPr>
              <w:spacing w:beforeLines="0" w:afterLines="0"/>
              <w:jc w:val="left"/>
              <w:rPr>
                <w:rFonts w:hint="eastAsia" w:ascii="宋体" w:hAnsi="宋体"/>
                <w:color w:val="auto"/>
                <w:sz w:val="22"/>
                <w:szCs w:val="24"/>
                <w:highlight w:val="none"/>
              </w:rPr>
            </w:pPr>
          </w:p>
        </w:tc>
        <w:tc>
          <w:tcPr>
            <w:tcW w:w="7738" w:type="dxa"/>
            <w:tcBorders>
              <w:top w:val="single" w:color="auto" w:sz="6" w:space="0"/>
              <w:left w:val="single" w:color="auto" w:sz="6" w:space="0"/>
              <w:bottom w:val="single" w:color="auto" w:sz="6" w:space="0"/>
              <w:right w:val="single" w:color="auto" w:sz="6" w:space="0"/>
              <w:tl2br w:val="nil"/>
              <w:tr2bl w:val="nil"/>
            </w:tcBorders>
            <w:noWrap w:val="0"/>
            <w:vAlign w:val="top"/>
          </w:tcPr>
          <w:p w14:paraId="280D501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lang w:val="en-US" w:eastAsia="zh-CN"/>
              </w:rPr>
              <w:t>1、</w:t>
            </w:r>
            <w:r>
              <w:rPr>
                <w:rFonts w:hint="eastAsia" w:ascii="宋体" w:hAnsi="宋体"/>
                <w:color w:val="auto"/>
                <w:sz w:val="22"/>
                <w:szCs w:val="24"/>
                <w:highlight w:val="none"/>
              </w:rPr>
              <w:t>定制,学科氛围的文化建设，包含符合学科教室文化的知识窗帘、亚克力、KT板展板、挂画等设计出效果图、制作、安装等。</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60556A37">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1</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ECD718B">
            <w:pPr>
              <w:spacing w:beforeLines="0" w:afterLines="0"/>
              <w:jc w:val="left"/>
              <w:rPr>
                <w:rFonts w:hint="eastAsia" w:ascii="宋体" w:hAnsi="宋体"/>
                <w:color w:val="auto"/>
                <w:sz w:val="22"/>
                <w:szCs w:val="24"/>
                <w:highlight w:val="none"/>
              </w:rPr>
            </w:pPr>
            <w:r>
              <w:rPr>
                <w:rFonts w:hint="eastAsia" w:ascii="宋体" w:hAnsi="宋体"/>
                <w:color w:val="auto"/>
                <w:sz w:val="22"/>
                <w:szCs w:val="24"/>
                <w:highlight w:val="none"/>
              </w:rPr>
              <w:t>项</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87BEED9">
            <w:pPr>
              <w:spacing w:beforeLines="0" w:afterLines="0"/>
              <w:jc w:val="left"/>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6FCE3F00">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22CC9B06">
            <w:pPr>
              <w:spacing w:beforeLines="0" w:afterLines="0"/>
              <w:jc w:val="right"/>
              <w:rPr>
                <w:rFonts w:hint="eastAsia" w:ascii="宋体" w:hAnsi="宋体"/>
                <w:color w:val="auto"/>
                <w:sz w:val="22"/>
                <w:szCs w:val="24"/>
                <w:highlight w:val="none"/>
              </w:rPr>
            </w:pPr>
          </w:p>
        </w:tc>
      </w:tr>
      <w:tr w14:paraId="0B87FB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00" w:hRule="atLeast"/>
        </w:trPr>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14F73839">
            <w:pPr>
              <w:spacing w:beforeLines="0" w:afterLines="0"/>
              <w:jc w:val="center"/>
              <w:rPr>
                <w:rFonts w:hint="eastAsia" w:ascii="宋体" w:hAnsi="宋体"/>
                <w:b/>
                <w:color w:val="auto"/>
                <w:sz w:val="24"/>
                <w:szCs w:val="24"/>
                <w:highlight w:val="none"/>
              </w:rPr>
            </w:pPr>
            <w:r>
              <w:rPr>
                <w:rFonts w:hint="eastAsia" w:ascii="宋体" w:hAnsi="宋体"/>
                <w:b/>
                <w:color w:val="auto"/>
                <w:sz w:val="24"/>
                <w:szCs w:val="24"/>
                <w:highlight w:val="none"/>
              </w:rPr>
              <w:t>36</w:t>
            </w: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19567D0">
            <w:pPr>
              <w:spacing w:beforeLines="0" w:afterLines="0"/>
              <w:jc w:val="right"/>
              <w:rPr>
                <w:rFonts w:hint="eastAsia" w:ascii="宋体" w:hAnsi="宋体"/>
                <w:color w:val="auto"/>
                <w:sz w:val="22"/>
                <w:szCs w:val="24"/>
                <w:highlight w:val="none"/>
              </w:rPr>
            </w:pPr>
          </w:p>
        </w:tc>
        <w:tc>
          <w:tcPr>
            <w:tcW w:w="2322" w:type="dxa"/>
            <w:tcBorders>
              <w:top w:val="single" w:color="auto" w:sz="6" w:space="0"/>
              <w:left w:val="single" w:color="auto" w:sz="6" w:space="0"/>
              <w:bottom w:val="single" w:color="auto" w:sz="6" w:space="0"/>
              <w:right w:val="single" w:color="auto" w:sz="6" w:space="0"/>
              <w:tl2br w:val="nil"/>
              <w:tr2bl w:val="nil"/>
            </w:tcBorders>
            <w:noWrap w:val="0"/>
            <w:vAlign w:val="top"/>
          </w:tcPr>
          <w:p w14:paraId="7515A5E3">
            <w:pPr>
              <w:spacing w:beforeLines="0" w:afterLines="0"/>
              <w:jc w:val="right"/>
              <w:rPr>
                <w:rFonts w:hint="eastAsia" w:ascii="宋体" w:hAnsi="宋体"/>
                <w:color w:val="auto"/>
                <w:sz w:val="22"/>
                <w:szCs w:val="24"/>
                <w:highlight w:val="none"/>
              </w:rPr>
            </w:pPr>
          </w:p>
        </w:tc>
        <w:tc>
          <w:tcPr>
            <w:tcW w:w="7738" w:type="dxa"/>
            <w:tcBorders>
              <w:top w:val="single" w:color="auto" w:sz="6" w:space="0"/>
              <w:left w:val="single" w:color="auto" w:sz="6" w:space="0"/>
              <w:bottom w:val="single" w:color="auto" w:sz="12" w:space="0"/>
              <w:right w:val="single" w:color="auto" w:sz="6" w:space="0"/>
              <w:tl2br w:val="nil"/>
              <w:tr2bl w:val="nil"/>
            </w:tcBorders>
            <w:noWrap w:val="0"/>
            <w:vAlign w:val="top"/>
          </w:tcPr>
          <w:p w14:paraId="4D662708">
            <w:pPr>
              <w:spacing w:beforeLines="0" w:afterLines="0"/>
              <w:jc w:val="center"/>
              <w:rPr>
                <w:rFonts w:hint="eastAsia" w:ascii="宋体" w:hAnsi="宋体"/>
                <w:color w:val="auto"/>
                <w:sz w:val="22"/>
                <w:szCs w:val="24"/>
                <w:highlight w:val="none"/>
              </w:rPr>
            </w:pPr>
            <w:r>
              <w:rPr>
                <w:rFonts w:hint="eastAsia" w:ascii="宋体" w:hAnsi="宋体"/>
                <w:color w:val="auto"/>
                <w:sz w:val="22"/>
                <w:szCs w:val="24"/>
                <w:highlight w:val="none"/>
              </w:rPr>
              <w:t>合计：</w:t>
            </w:r>
          </w:p>
        </w:tc>
        <w:tc>
          <w:tcPr>
            <w:tcW w:w="1910" w:type="dxa"/>
            <w:tcBorders>
              <w:top w:val="single" w:color="auto" w:sz="6" w:space="0"/>
              <w:left w:val="single" w:color="auto" w:sz="6" w:space="0"/>
              <w:bottom w:val="single" w:color="auto" w:sz="6" w:space="0"/>
              <w:right w:val="single" w:color="auto" w:sz="6" w:space="0"/>
              <w:tl2br w:val="nil"/>
              <w:tr2bl w:val="nil"/>
            </w:tcBorders>
            <w:noWrap w:val="0"/>
            <w:vAlign w:val="top"/>
          </w:tcPr>
          <w:p w14:paraId="5A864014">
            <w:pPr>
              <w:spacing w:beforeLines="0" w:afterLines="0"/>
              <w:jc w:val="right"/>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413DE13E">
            <w:pPr>
              <w:spacing w:beforeLines="0" w:afterLines="0"/>
              <w:jc w:val="right"/>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06462219">
            <w:pPr>
              <w:spacing w:beforeLines="0" w:afterLines="0"/>
              <w:jc w:val="right"/>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nil"/>
              <w:tl2br w:val="nil"/>
              <w:tr2bl w:val="nil"/>
            </w:tcBorders>
            <w:noWrap w:val="0"/>
            <w:vAlign w:val="top"/>
          </w:tcPr>
          <w:p w14:paraId="426C14C5">
            <w:pPr>
              <w:spacing w:beforeLines="0" w:afterLines="0"/>
              <w:jc w:val="center"/>
              <w:rPr>
                <w:rFonts w:hint="eastAsia" w:ascii="宋体" w:hAnsi="宋体"/>
                <w:color w:val="auto"/>
                <w:sz w:val="22"/>
                <w:szCs w:val="24"/>
                <w:highlight w:val="none"/>
              </w:rPr>
            </w:pPr>
          </w:p>
        </w:tc>
        <w:tc>
          <w:tcPr>
            <w:tcW w:w="1080" w:type="dxa"/>
            <w:tcBorders>
              <w:top w:val="single" w:color="auto" w:sz="6" w:space="0"/>
              <w:left w:val="single" w:color="auto" w:sz="6" w:space="0"/>
              <w:bottom w:val="single" w:color="auto" w:sz="6" w:space="0"/>
              <w:right w:val="single" w:color="auto" w:sz="6" w:space="0"/>
              <w:tl2br w:val="nil"/>
              <w:tr2bl w:val="nil"/>
            </w:tcBorders>
            <w:noWrap w:val="0"/>
            <w:vAlign w:val="top"/>
          </w:tcPr>
          <w:p w14:paraId="76215841">
            <w:pPr>
              <w:spacing w:beforeLines="0" w:afterLines="0"/>
              <w:jc w:val="right"/>
              <w:rPr>
                <w:rFonts w:hint="eastAsia" w:ascii="宋体" w:hAnsi="宋体"/>
                <w:color w:val="auto"/>
                <w:sz w:val="22"/>
                <w:szCs w:val="24"/>
                <w:highlight w:val="none"/>
              </w:rPr>
            </w:pPr>
          </w:p>
        </w:tc>
      </w:tr>
    </w:tbl>
    <w:p w14:paraId="5949C496">
      <w:bookmarkStart w:id="0" w:name="_GoBack"/>
      <w:bookmarkEnd w:id="0"/>
    </w:p>
    <w:sectPr>
      <w:pgSz w:w="24480" w:h="15839" w:orient="landscape"/>
      <w:pgMar w:top="1800" w:right="1440" w:bottom="1800" w:left="144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FDF0D00"/>
    <w:multiLevelType w:val="singleLevel"/>
    <w:tmpl w:val="8FDF0D00"/>
    <w:lvl w:ilvl="0" w:tentative="0">
      <w:start w:val="1"/>
      <w:numFmt w:val="decimal"/>
      <w:suff w:val="nothing"/>
      <w:lvlText w:val="%1、"/>
      <w:lvlJc w:val="left"/>
    </w:lvl>
  </w:abstractNum>
  <w:abstractNum w:abstractNumId="1">
    <w:nsid w:val="16B87AEE"/>
    <w:multiLevelType w:val="singleLevel"/>
    <w:tmpl w:val="16B87AEE"/>
    <w:lvl w:ilvl="0" w:tentative="0">
      <w:start w:val="1"/>
      <w:numFmt w:val="decimal"/>
      <w:suff w:val="nothing"/>
      <w:lvlText w:val="%1、"/>
      <w:lvlJc w:val="left"/>
    </w:lvl>
  </w:abstractNum>
  <w:abstractNum w:abstractNumId="2">
    <w:nsid w:val="16D4FE33"/>
    <w:multiLevelType w:val="singleLevel"/>
    <w:tmpl w:val="16D4FE33"/>
    <w:lvl w:ilvl="0" w:tentative="0">
      <w:start w:val="1"/>
      <w:numFmt w:val="decimal"/>
      <w:suff w:val="nothing"/>
      <w:lvlText w:val="%1、"/>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AAB0384"/>
    <w:rsid w:val="0CC64998"/>
    <w:rsid w:val="10C0665F"/>
    <w:rsid w:val="11697E66"/>
    <w:rsid w:val="1EC55F06"/>
    <w:rsid w:val="23C04937"/>
    <w:rsid w:val="4AC975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jc w:val="both"/>
    </w:pPr>
    <w:rPr>
      <w:rFonts w:ascii="Times New Roman" w:hAnsi="Times New Roman" w:eastAsia="宋体" w:cs="Times New Roman"/>
      <w:kern w:val="2"/>
      <w:sz w:val="21"/>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15.png"/><Relationship Id="rId17" Type="http://schemas.openxmlformats.org/officeDocument/2006/relationships/image" Target="media/image14.png"/><Relationship Id="rId16" Type="http://schemas.openxmlformats.org/officeDocument/2006/relationships/image" Target="media/image13.png"/><Relationship Id="rId15" Type="http://schemas.openxmlformats.org/officeDocument/2006/relationships/image" Target="media/image12.png"/><Relationship Id="rId14" Type="http://schemas.openxmlformats.org/officeDocument/2006/relationships/image" Target="media/image11.png"/><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10191</Words>
  <Characters>11356</Characters>
  <Lines>0</Lines>
  <Paragraphs>0</Paragraphs>
  <TotalTime>0</TotalTime>
  <ScaleCrop>false</ScaleCrop>
  <LinksUpToDate>false</LinksUpToDate>
  <CharactersWithSpaces>11643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2026-05-11T09:18:00Z</dcterms:created>
  <dc:creator>97372</dc:creator>
  <cp:lastModifiedBy>徐诗奕</cp:lastModifiedBy>
  <dcterms:modified xsi:type="dcterms:W3CDTF">2026-05-14T09:25:23Z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eyJoZGlkIjoiZjI2OTI2Y2JmYzNiMWEwYzVmNDE4YTMzZWJiZDM3ZWMiLCJ1c2VySWQiOiIxNDU1ODkxMDY1In0=</vt:lpwstr>
  </property>
  <property fmtid="{D5CDD505-2E9C-101B-9397-08002B2CF9AE}" pid="4" name="ICV">
    <vt:lpwstr>8834B95394D5491BABF47AB56CD3A2E8_13</vt:lpwstr>
  </property>
</Properties>
</file>